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DB2DC" w14:textId="77777777" w:rsidR="00A92BCC" w:rsidRDefault="00C27520" w:rsidP="00C27520">
      <w:pPr>
        <w:jc w:val="center"/>
        <w:rPr>
          <w:rStyle w:val="Strong"/>
          <w:rFonts w:ascii="Arial" w:hAnsi="Arial" w:cs="Arial"/>
          <w:i/>
          <w:iCs/>
          <w:color w:val="475055"/>
          <w:sz w:val="28"/>
          <w:szCs w:val="28"/>
          <w:u w:val="single"/>
          <w:shd w:val="clear" w:color="auto" w:fill="FFFFFF"/>
        </w:rPr>
      </w:pPr>
      <w:r w:rsidRPr="00C27520">
        <w:rPr>
          <w:rStyle w:val="Strong"/>
          <w:rFonts w:ascii="Arial" w:hAnsi="Arial" w:cs="Arial"/>
          <w:i/>
          <w:iCs/>
          <w:color w:val="475055"/>
          <w:sz w:val="28"/>
          <w:szCs w:val="28"/>
          <w:u w:val="single"/>
          <w:shd w:val="clear" w:color="auto" w:fill="FFFFFF"/>
        </w:rPr>
        <w:t>SUMMARY</w:t>
      </w:r>
      <w:r w:rsidR="00A92BCC">
        <w:rPr>
          <w:rStyle w:val="Strong"/>
          <w:rFonts w:ascii="Arial" w:hAnsi="Arial" w:cs="Arial"/>
          <w:i/>
          <w:iCs/>
          <w:color w:val="475055"/>
          <w:sz w:val="28"/>
          <w:szCs w:val="28"/>
          <w:u w:val="single"/>
          <w:shd w:val="clear" w:color="auto" w:fill="FFFFFF"/>
        </w:rPr>
        <w:t xml:space="preserve"> </w:t>
      </w:r>
    </w:p>
    <w:p w14:paraId="1DDFCA11" w14:textId="77777777" w:rsidR="00A92BCC" w:rsidRDefault="00A92BCC" w:rsidP="00C27520">
      <w:pPr>
        <w:jc w:val="center"/>
        <w:rPr>
          <w:rStyle w:val="Strong"/>
          <w:rFonts w:ascii="Arial" w:hAnsi="Arial" w:cs="Arial"/>
          <w:i/>
          <w:iCs/>
          <w:color w:val="475055"/>
          <w:sz w:val="28"/>
          <w:szCs w:val="28"/>
          <w:u w:val="single"/>
          <w:shd w:val="clear" w:color="auto" w:fill="FFFFFF"/>
        </w:rPr>
      </w:pPr>
      <w:r>
        <w:rPr>
          <w:rStyle w:val="Strong"/>
          <w:rFonts w:ascii="Arial" w:hAnsi="Arial" w:cs="Arial"/>
          <w:i/>
          <w:iCs/>
          <w:color w:val="475055"/>
          <w:sz w:val="28"/>
          <w:szCs w:val="28"/>
          <w:u w:val="single"/>
          <w:shd w:val="clear" w:color="auto" w:fill="FFFFFF"/>
        </w:rPr>
        <w:t xml:space="preserve">of </w:t>
      </w:r>
    </w:p>
    <w:p w14:paraId="23F498AE" w14:textId="256FC494" w:rsidR="00C27520" w:rsidRPr="00C27520" w:rsidRDefault="00A92BCC" w:rsidP="00C27520">
      <w:pPr>
        <w:jc w:val="center"/>
        <w:rPr>
          <w:rStyle w:val="Strong"/>
          <w:rFonts w:ascii="Arial" w:hAnsi="Arial" w:cs="Arial"/>
          <w:i/>
          <w:iCs/>
          <w:color w:val="475055"/>
          <w:sz w:val="28"/>
          <w:szCs w:val="28"/>
          <w:u w:val="single"/>
          <w:shd w:val="clear" w:color="auto" w:fill="FFFFFF"/>
        </w:rPr>
      </w:pPr>
      <w:r>
        <w:rPr>
          <w:rStyle w:val="Strong"/>
          <w:rFonts w:ascii="Arial" w:hAnsi="Arial" w:cs="Arial"/>
          <w:i/>
          <w:iCs/>
          <w:color w:val="475055"/>
          <w:sz w:val="28"/>
          <w:szCs w:val="28"/>
          <w:u w:val="single"/>
          <w:shd w:val="clear" w:color="auto" w:fill="FFFFFF"/>
        </w:rPr>
        <w:t>Important TDS-TCS Provisions</w:t>
      </w:r>
    </w:p>
    <w:p w14:paraId="32D05B3D" w14:textId="77777777" w:rsidR="00C27520" w:rsidRDefault="00C27520">
      <w:pPr>
        <w:rPr>
          <w:rStyle w:val="Strong"/>
          <w:rFonts w:ascii="Arial" w:hAnsi="Arial" w:cs="Arial"/>
          <w:color w:val="475055"/>
          <w:shd w:val="clear" w:color="auto" w:fill="FFFFFF"/>
        </w:rPr>
      </w:pPr>
    </w:p>
    <w:p w14:paraId="2227E39D" w14:textId="122BBBCD" w:rsidR="00446A31" w:rsidRDefault="00DE4E69">
      <w:pPr>
        <w:rPr>
          <w:rStyle w:val="Strong"/>
          <w:rFonts w:ascii="Arial" w:hAnsi="Arial" w:cs="Arial"/>
          <w:color w:val="475055"/>
          <w:shd w:val="clear" w:color="auto" w:fill="FFFFFF"/>
        </w:rPr>
      </w:pPr>
      <w:r>
        <w:rPr>
          <w:rStyle w:val="Strong"/>
          <w:rFonts w:ascii="Arial" w:hAnsi="Arial" w:cs="Arial"/>
          <w:color w:val="475055"/>
          <w:shd w:val="clear" w:color="auto" w:fill="FFFFFF"/>
        </w:rPr>
        <w:t>Section 194Q – </w:t>
      </w:r>
      <w:hyperlink r:id="rId5" w:tgtFrame="_blank" w:tooltip="TDS(Tax Deduction at Source)" w:history="1">
        <w:r>
          <w:rPr>
            <w:rStyle w:val="Hyperlink"/>
            <w:rFonts w:ascii="Arial" w:hAnsi="Arial" w:cs="Arial"/>
            <w:b/>
            <w:bCs/>
            <w:color w:val="337AB7"/>
          </w:rPr>
          <w:t>TDS </w:t>
        </w:r>
      </w:hyperlink>
      <w:r>
        <w:rPr>
          <w:rStyle w:val="Strong"/>
          <w:rFonts w:ascii="Arial" w:hAnsi="Arial" w:cs="Arial"/>
          <w:color w:val="475055"/>
          <w:shd w:val="clear" w:color="auto" w:fill="FFFFFF"/>
        </w:rPr>
        <w:t>on PAYMENT for PURCHASE of GOODS (w.e.f. 01.07.2021) </w:t>
      </w:r>
    </w:p>
    <w:p w14:paraId="707FF0FD" w14:textId="774D05BB" w:rsidR="00DE4E69" w:rsidRDefault="00DE4E69">
      <w:pPr>
        <w:rPr>
          <w:rStyle w:val="Strong"/>
          <w:rFonts w:ascii="Arial" w:hAnsi="Arial" w:cs="Arial"/>
          <w:color w:val="475055"/>
          <w:shd w:val="clear" w:color="auto" w:fill="FFFFFF"/>
        </w:rPr>
      </w:pPr>
    </w:p>
    <w:p w14:paraId="4CEEA855" w14:textId="77777777" w:rsidR="00DE4E69" w:rsidRDefault="00DE4E69" w:rsidP="00DE4E69">
      <w:pPr>
        <w:pStyle w:val="NormalWeb"/>
        <w:shd w:val="clear" w:color="auto" w:fill="FFFFFF"/>
        <w:spacing w:before="0" w:beforeAutospacing="0" w:after="150" w:afterAutospacing="0"/>
        <w:jc w:val="both"/>
        <w:rPr>
          <w:rFonts w:ascii="Arial" w:hAnsi="Arial" w:cs="Arial"/>
          <w:color w:val="475055"/>
        </w:rPr>
      </w:pPr>
      <w:r>
        <w:rPr>
          <w:rFonts w:ascii="Arial" w:hAnsi="Arial" w:cs="Arial"/>
          <w:color w:val="475055"/>
        </w:rPr>
        <w:t xml:space="preserve">1. Applicable on </w:t>
      </w:r>
      <w:r w:rsidRPr="00BA2835">
        <w:rPr>
          <w:rFonts w:ascii="Arial" w:hAnsi="Arial" w:cs="Arial"/>
          <w:b/>
          <w:bCs/>
          <w:color w:val="475055"/>
        </w:rPr>
        <w:t>BUYER</w:t>
      </w:r>
      <w:r>
        <w:rPr>
          <w:rFonts w:ascii="Arial" w:hAnsi="Arial" w:cs="Arial"/>
          <w:color w:val="475055"/>
        </w:rPr>
        <w:t xml:space="preserve"> </w:t>
      </w:r>
      <w:proofErr w:type="gramStart"/>
      <w:r>
        <w:rPr>
          <w:rFonts w:ascii="Arial" w:hAnsi="Arial" w:cs="Arial"/>
          <w:color w:val="475055"/>
        </w:rPr>
        <w:t>i.e.</w:t>
      </w:r>
      <w:proofErr w:type="gramEnd"/>
      <w:r>
        <w:rPr>
          <w:rFonts w:ascii="Arial" w:hAnsi="Arial" w:cs="Arial"/>
          <w:color w:val="475055"/>
        </w:rPr>
        <w:t xml:space="preserve"> person making payment</w:t>
      </w:r>
    </w:p>
    <w:p w14:paraId="7ABCAFB9" w14:textId="77777777" w:rsidR="00DE4E69" w:rsidRDefault="00DE4E69" w:rsidP="00DE4E69">
      <w:pPr>
        <w:pStyle w:val="NormalWeb"/>
        <w:shd w:val="clear" w:color="auto" w:fill="FFFFFF"/>
        <w:spacing w:before="0" w:beforeAutospacing="0" w:after="150" w:afterAutospacing="0"/>
        <w:jc w:val="both"/>
        <w:rPr>
          <w:rFonts w:ascii="Arial" w:hAnsi="Arial" w:cs="Arial"/>
          <w:color w:val="475055"/>
        </w:rPr>
      </w:pPr>
      <w:r>
        <w:rPr>
          <w:rFonts w:ascii="Arial" w:hAnsi="Arial" w:cs="Arial"/>
          <w:color w:val="475055"/>
        </w:rPr>
        <w:t xml:space="preserve">2. </w:t>
      </w:r>
      <w:r w:rsidRPr="00BA2835">
        <w:rPr>
          <w:rFonts w:ascii="Arial" w:hAnsi="Arial" w:cs="Arial"/>
          <w:b/>
          <w:bCs/>
          <w:color w:val="475055"/>
        </w:rPr>
        <w:t>On GOODS</w:t>
      </w:r>
      <w:r>
        <w:rPr>
          <w:rFonts w:ascii="Arial" w:hAnsi="Arial" w:cs="Arial"/>
          <w:color w:val="475055"/>
        </w:rPr>
        <w:t xml:space="preserve"> purchased – not on services</w:t>
      </w:r>
    </w:p>
    <w:p w14:paraId="33AE4D29" w14:textId="77777777" w:rsidR="00DE4E69" w:rsidRDefault="00DE4E69" w:rsidP="00DE4E69">
      <w:pPr>
        <w:pStyle w:val="NormalWeb"/>
        <w:shd w:val="clear" w:color="auto" w:fill="FFFFFF"/>
        <w:spacing w:before="0" w:beforeAutospacing="0" w:after="150" w:afterAutospacing="0"/>
        <w:jc w:val="both"/>
        <w:rPr>
          <w:rFonts w:ascii="Arial" w:hAnsi="Arial" w:cs="Arial"/>
          <w:color w:val="475055"/>
        </w:rPr>
      </w:pPr>
      <w:r>
        <w:rPr>
          <w:rFonts w:ascii="Arial" w:hAnsi="Arial" w:cs="Arial"/>
          <w:color w:val="475055"/>
        </w:rPr>
        <w:t xml:space="preserve">3. </w:t>
      </w:r>
      <w:r w:rsidRPr="00BA2835">
        <w:rPr>
          <w:rFonts w:ascii="Arial" w:hAnsi="Arial" w:cs="Arial"/>
          <w:b/>
          <w:bCs/>
          <w:color w:val="475055"/>
        </w:rPr>
        <w:t>SELLER is RESIDENT</w:t>
      </w:r>
      <w:r>
        <w:rPr>
          <w:rFonts w:ascii="Arial" w:hAnsi="Arial" w:cs="Arial"/>
          <w:color w:val="475055"/>
        </w:rPr>
        <w:t xml:space="preserve"> </w:t>
      </w:r>
      <w:proofErr w:type="gramStart"/>
      <w:r>
        <w:rPr>
          <w:rFonts w:ascii="Arial" w:hAnsi="Arial" w:cs="Arial"/>
          <w:color w:val="475055"/>
        </w:rPr>
        <w:t>i.e.</w:t>
      </w:r>
      <w:proofErr w:type="gramEnd"/>
      <w:r>
        <w:rPr>
          <w:rFonts w:ascii="Arial" w:hAnsi="Arial" w:cs="Arial"/>
          <w:color w:val="475055"/>
        </w:rPr>
        <w:t xml:space="preserve"> not applicable to Non-Resident (not having any permanent establishment in India).</w:t>
      </w:r>
    </w:p>
    <w:p w14:paraId="3773B783" w14:textId="77777777" w:rsidR="00DE4E69" w:rsidRDefault="00DE4E69" w:rsidP="00DE4E69">
      <w:pPr>
        <w:pStyle w:val="NormalWeb"/>
        <w:shd w:val="clear" w:color="auto" w:fill="FFFFFF"/>
        <w:spacing w:before="0" w:beforeAutospacing="0" w:after="150" w:afterAutospacing="0"/>
        <w:jc w:val="both"/>
        <w:rPr>
          <w:rFonts w:ascii="Arial" w:hAnsi="Arial" w:cs="Arial"/>
          <w:color w:val="475055"/>
        </w:rPr>
      </w:pPr>
      <w:r>
        <w:rPr>
          <w:rFonts w:ascii="Arial" w:hAnsi="Arial" w:cs="Arial"/>
          <w:color w:val="475055"/>
        </w:rPr>
        <w:t xml:space="preserve">4. BUYER has </w:t>
      </w:r>
      <w:r w:rsidRPr="00BA2835">
        <w:rPr>
          <w:rFonts w:ascii="Arial" w:hAnsi="Arial" w:cs="Arial"/>
          <w:b/>
          <w:bCs/>
          <w:color w:val="475055"/>
        </w:rPr>
        <w:t>TURNOVER</w:t>
      </w:r>
      <w:r>
        <w:rPr>
          <w:rFonts w:ascii="Arial" w:hAnsi="Arial" w:cs="Arial"/>
          <w:color w:val="475055"/>
        </w:rPr>
        <w:t xml:space="preserve"> from business EXCEEDING Rs.</w:t>
      </w:r>
      <w:r w:rsidRPr="00BA2835">
        <w:rPr>
          <w:rFonts w:ascii="Arial" w:hAnsi="Arial" w:cs="Arial"/>
          <w:b/>
          <w:bCs/>
          <w:color w:val="475055"/>
        </w:rPr>
        <w:t>10 CRORES</w:t>
      </w:r>
      <w:r>
        <w:rPr>
          <w:rFonts w:ascii="Arial" w:hAnsi="Arial" w:cs="Arial"/>
          <w:color w:val="475055"/>
        </w:rPr>
        <w:t xml:space="preserve"> in the </w:t>
      </w:r>
      <w:proofErr w:type="spellStart"/>
      <w:r>
        <w:rPr>
          <w:rFonts w:ascii="Arial" w:hAnsi="Arial" w:cs="Arial"/>
          <w:color w:val="475055"/>
        </w:rPr>
        <w:t>preceeding</w:t>
      </w:r>
      <w:proofErr w:type="spellEnd"/>
      <w:r>
        <w:rPr>
          <w:rFonts w:ascii="Arial" w:hAnsi="Arial" w:cs="Arial"/>
          <w:color w:val="475055"/>
        </w:rPr>
        <w:t xml:space="preserve"> financial year.</w:t>
      </w:r>
    </w:p>
    <w:p w14:paraId="6D53DE13" w14:textId="77777777" w:rsidR="00DE4E69" w:rsidRDefault="00DE4E69" w:rsidP="00DE4E69">
      <w:pPr>
        <w:pStyle w:val="NormalWeb"/>
        <w:shd w:val="clear" w:color="auto" w:fill="FFFFFF"/>
        <w:spacing w:before="0" w:beforeAutospacing="0" w:after="150" w:afterAutospacing="0"/>
        <w:jc w:val="both"/>
        <w:rPr>
          <w:rFonts w:ascii="Arial" w:hAnsi="Arial" w:cs="Arial"/>
          <w:color w:val="475055"/>
        </w:rPr>
      </w:pPr>
      <w:r>
        <w:rPr>
          <w:rFonts w:ascii="Arial" w:hAnsi="Arial" w:cs="Arial"/>
          <w:color w:val="475055"/>
        </w:rPr>
        <w:t xml:space="preserve">5. </w:t>
      </w:r>
      <w:r w:rsidRPr="00BA2835">
        <w:rPr>
          <w:rFonts w:ascii="Arial" w:hAnsi="Arial" w:cs="Arial"/>
          <w:b/>
          <w:bCs/>
          <w:color w:val="475055"/>
        </w:rPr>
        <w:t>PAYMENT</w:t>
      </w:r>
      <w:r>
        <w:rPr>
          <w:rFonts w:ascii="Arial" w:hAnsi="Arial" w:cs="Arial"/>
          <w:color w:val="475055"/>
        </w:rPr>
        <w:t xml:space="preserve"> to supplier / credit to account of supplier, whichever is earlier, during the financial year </w:t>
      </w:r>
      <w:r w:rsidRPr="00BA2835">
        <w:rPr>
          <w:rFonts w:ascii="Arial" w:hAnsi="Arial" w:cs="Arial"/>
          <w:b/>
          <w:bCs/>
          <w:color w:val="475055"/>
        </w:rPr>
        <w:t>EXCEEDS Rs.50 LAKHS</w:t>
      </w:r>
      <w:r>
        <w:rPr>
          <w:rFonts w:ascii="Arial" w:hAnsi="Arial" w:cs="Arial"/>
          <w:color w:val="475055"/>
        </w:rPr>
        <w:t>.</w:t>
      </w:r>
    </w:p>
    <w:p w14:paraId="457B75AA" w14:textId="77777777" w:rsidR="00DE4E69" w:rsidRDefault="00DE4E69" w:rsidP="00DE4E69">
      <w:pPr>
        <w:pStyle w:val="NormalWeb"/>
        <w:shd w:val="clear" w:color="auto" w:fill="FFFFFF"/>
        <w:spacing w:before="0" w:beforeAutospacing="0" w:after="150" w:afterAutospacing="0"/>
        <w:jc w:val="both"/>
        <w:rPr>
          <w:rFonts w:ascii="Arial" w:hAnsi="Arial" w:cs="Arial"/>
          <w:color w:val="475055"/>
        </w:rPr>
      </w:pPr>
      <w:r>
        <w:rPr>
          <w:rFonts w:ascii="Arial" w:hAnsi="Arial" w:cs="Arial"/>
          <w:color w:val="475055"/>
        </w:rPr>
        <w:t xml:space="preserve">6. </w:t>
      </w:r>
      <w:r w:rsidRPr="00BA2835">
        <w:rPr>
          <w:rFonts w:ascii="Arial" w:hAnsi="Arial" w:cs="Arial"/>
          <w:b/>
          <w:bCs/>
          <w:color w:val="475055"/>
        </w:rPr>
        <w:t>TDS @ 0.10 %</w:t>
      </w:r>
      <w:r>
        <w:rPr>
          <w:rFonts w:ascii="Arial" w:hAnsi="Arial" w:cs="Arial"/>
          <w:color w:val="475055"/>
        </w:rPr>
        <w:t xml:space="preserve"> of PAYMENT / credit over Rs.50 LAKHS INCLUDING </w:t>
      </w:r>
      <w:proofErr w:type="gramStart"/>
      <w:r>
        <w:rPr>
          <w:rFonts w:ascii="Arial" w:hAnsi="Arial" w:cs="Arial"/>
          <w:color w:val="475055"/>
        </w:rPr>
        <w:t>GST.(</w:t>
      </w:r>
      <w:proofErr w:type="gramEnd"/>
      <w:r>
        <w:rPr>
          <w:rFonts w:ascii="Arial" w:hAnsi="Arial" w:cs="Arial"/>
          <w:color w:val="475055"/>
        </w:rPr>
        <w:t xml:space="preserve"> Advisable to include GST component)</w:t>
      </w:r>
    </w:p>
    <w:p w14:paraId="2C5DD0DA" w14:textId="77777777" w:rsidR="00DE4E69" w:rsidRDefault="00DE4E69" w:rsidP="00DE4E69">
      <w:pPr>
        <w:pStyle w:val="NormalWeb"/>
        <w:shd w:val="clear" w:color="auto" w:fill="FFFFFF"/>
        <w:spacing w:before="0" w:beforeAutospacing="0" w:after="150" w:afterAutospacing="0"/>
        <w:jc w:val="both"/>
        <w:rPr>
          <w:rFonts w:ascii="Arial" w:hAnsi="Arial" w:cs="Arial"/>
          <w:color w:val="475055"/>
        </w:rPr>
      </w:pPr>
      <w:r>
        <w:rPr>
          <w:rFonts w:ascii="Arial" w:hAnsi="Arial" w:cs="Arial"/>
          <w:color w:val="475055"/>
        </w:rPr>
        <w:t xml:space="preserve">7. IF </w:t>
      </w:r>
      <w:r w:rsidRPr="00BA2835">
        <w:rPr>
          <w:rFonts w:ascii="Arial" w:hAnsi="Arial" w:cs="Arial"/>
          <w:b/>
          <w:bCs/>
          <w:color w:val="475055"/>
        </w:rPr>
        <w:t>PAN NOT PROVIDED</w:t>
      </w:r>
      <w:r>
        <w:rPr>
          <w:rFonts w:ascii="Arial" w:hAnsi="Arial" w:cs="Arial"/>
          <w:color w:val="475055"/>
        </w:rPr>
        <w:t xml:space="preserve"> but has </w:t>
      </w:r>
      <w:proofErr w:type="gramStart"/>
      <w:r>
        <w:rPr>
          <w:rFonts w:ascii="Arial" w:hAnsi="Arial" w:cs="Arial"/>
          <w:color w:val="475055"/>
        </w:rPr>
        <w:t>filed  RETURNS</w:t>
      </w:r>
      <w:proofErr w:type="gramEnd"/>
      <w:r>
        <w:rPr>
          <w:rFonts w:ascii="Arial" w:hAnsi="Arial" w:cs="Arial"/>
          <w:color w:val="475055"/>
        </w:rPr>
        <w:t xml:space="preserve"> in the last preceding two previous years:   </w:t>
      </w:r>
      <w:r w:rsidRPr="00BA2835">
        <w:rPr>
          <w:rFonts w:ascii="Arial" w:hAnsi="Arial" w:cs="Arial"/>
          <w:b/>
          <w:bCs/>
          <w:color w:val="475055"/>
        </w:rPr>
        <w:t>HIGHER of – applicable rate or 5%</w:t>
      </w:r>
      <w:r>
        <w:rPr>
          <w:rFonts w:ascii="Arial" w:hAnsi="Arial" w:cs="Arial"/>
          <w:color w:val="475055"/>
        </w:rPr>
        <w:t xml:space="preserve"> [</w:t>
      </w:r>
      <w:r>
        <w:rPr>
          <w:rStyle w:val="Emphasis"/>
          <w:rFonts w:ascii="Arial" w:hAnsi="Arial" w:cs="Arial"/>
          <w:color w:val="475055"/>
        </w:rPr>
        <w:t>2</w:t>
      </w:r>
      <w:r>
        <w:rPr>
          <w:rStyle w:val="Emphasis"/>
          <w:rFonts w:ascii="Arial" w:hAnsi="Arial" w:cs="Arial"/>
          <w:color w:val="475055"/>
          <w:sz w:val="18"/>
          <w:szCs w:val="18"/>
          <w:vertAlign w:val="superscript"/>
        </w:rPr>
        <w:t>nd</w:t>
      </w:r>
      <w:r>
        <w:rPr>
          <w:rStyle w:val="Emphasis"/>
          <w:rFonts w:ascii="Arial" w:hAnsi="Arial" w:cs="Arial"/>
          <w:color w:val="475055"/>
        </w:rPr>
        <w:t> Proviso to Section 206AA(1)</w:t>
      </w:r>
      <w:r>
        <w:rPr>
          <w:rFonts w:ascii="Arial" w:hAnsi="Arial" w:cs="Arial"/>
          <w:color w:val="475055"/>
        </w:rPr>
        <w:t>]</w:t>
      </w:r>
    </w:p>
    <w:p w14:paraId="5AE352C4" w14:textId="77777777" w:rsidR="00DE4E69" w:rsidRDefault="00DE4E69" w:rsidP="00DE4E69">
      <w:pPr>
        <w:pStyle w:val="NormalWeb"/>
        <w:shd w:val="clear" w:color="auto" w:fill="FFFFFF"/>
        <w:spacing w:before="0" w:beforeAutospacing="0" w:after="150" w:afterAutospacing="0"/>
        <w:jc w:val="both"/>
        <w:rPr>
          <w:rFonts w:ascii="Arial" w:hAnsi="Arial" w:cs="Arial"/>
          <w:color w:val="475055"/>
        </w:rPr>
      </w:pPr>
      <w:r>
        <w:rPr>
          <w:rFonts w:ascii="Arial" w:hAnsi="Arial" w:cs="Arial"/>
          <w:color w:val="475055"/>
        </w:rPr>
        <w:t>8. If PAN NOT PROVIDED and ALSO NOT FILED RETURNS for the preceding two previous years within time limit prescribed u / s 139(1) and total of TDS and </w:t>
      </w:r>
      <w:hyperlink r:id="rId6" w:tgtFrame="_blank" w:tooltip="Tax Collection at Source" w:history="1">
        <w:r>
          <w:rPr>
            <w:rStyle w:val="Hyperlink"/>
            <w:rFonts w:ascii="Arial" w:hAnsi="Arial" w:cs="Arial"/>
            <w:b/>
            <w:bCs/>
            <w:color w:val="337AB7"/>
          </w:rPr>
          <w:t>TCS</w:t>
        </w:r>
      </w:hyperlink>
      <w:r>
        <w:rPr>
          <w:rStyle w:val="Strong"/>
          <w:rFonts w:ascii="Arial" w:hAnsi="Arial" w:cs="Arial"/>
          <w:color w:val="475055"/>
        </w:rPr>
        <w:t> </w:t>
      </w:r>
      <w:r>
        <w:rPr>
          <w:rFonts w:ascii="Arial" w:hAnsi="Arial" w:cs="Arial"/>
          <w:color w:val="475055"/>
        </w:rPr>
        <w:t xml:space="preserve">in each of two preceding previous years is Rs. 50,000/- or </w:t>
      </w:r>
      <w:proofErr w:type="gramStart"/>
      <w:r>
        <w:rPr>
          <w:rFonts w:ascii="Arial" w:hAnsi="Arial" w:cs="Arial"/>
          <w:color w:val="475055"/>
        </w:rPr>
        <w:t>more :</w:t>
      </w:r>
      <w:proofErr w:type="gramEnd"/>
      <w:r>
        <w:rPr>
          <w:rFonts w:ascii="Arial" w:hAnsi="Arial" w:cs="Arial"/>
          <w:color w:val="475055"/>
        </w:rPr>
        <w:t xml:space="preserve"> Higher of – 5% or 5%, i.e., 5%  [</w:t>
      </w:r>
      <w:r>
        <w:rPr>
          <w:rStyle w:val="Emphasis"/>
          <w:rFonts w:ascii="Arial" w:hAnsi="Arial" w:cs="Arial"/>
          <w:color w:val="475055"/>
        </w:rPr>
        <w:t>Section 206AB(2) read with 2nd Proviso to Section 206AA(1)</w:t>
      </w:r>
      <w:r>
        <w:rPr>
          <w:rFonts w:ascii="Arial" w:hAnsi="Arial" w:cs="Arial"/>
          <w:color w:val="475055"/>
        </w:rPr>
        <w:t>]</w:t>
      </w:r>
    </w:p>
    <w:p w14:paraId="5DEB1626" w14:textId="77777777" w:rsidR="00DE4E69" w:rsidRDefault="00DE4E69" w:rsidP="00DE4E69">
      <w:pPr>
        <w:pStyle w:val="NormalWeb"/>
        <w:shd w:val="clear" w:color="auto" w:fill="FFFFFF"/>
        <w:spacing w:before="0" w:beforeAutospacing="0" w:after="150" w:afterAutospacing="0"/>
        <w:jc w:val="both"/>
        <w:rPr>
          <w:rFonts w:ascii="Arial" w:hAnsi="Arial" w:cs="Arial"/>
          <w:color w:val="475055"/>
        </w:rPr>
      </w:pPr>
      <w:r>
        <w:rPr>
          <w:rFonts w:ascii="Arial" w:hAnsi="Arial" w:cs="Arial"/>
          <w:color w:val="475055"/>
        </w:rPr>
        <w:t>9. Provisions of this section shall not apply where tax is deductible under any provisions of the Act and tax is collectible under section 206C, other than transactions where Section 206C (IH) applies; Section 194</w:t>
      </w:r>
      <w:proofErr w:type="gramStart"/>
      <w:r>
        <w:rPr>
          <w:rFonts w:ascii="Arial" w:hAnsi="Arial" w:cs="Arial"/>
          <w:color w:val="475055"/>
        </w:rPr>
        <w:t>Q(</w:t>
      </w:r>
      <w:proofErr w:type="gramEnd"/>
      <w:r>
        <w:rPr>
          <w:rFonts w:ascii="Arial" w:hAnsi="Arial" w:cs="Arial"/>
          <w:color w:val="475055"/>
        </w:rPr>
        <w:t>5) – </w:t>
      </w:r>
      <w:r>
        <w:rPr>
          <w:rStyle w:val="Emphasis"/>
          <w:rFonts w:ascii="Arial" w:hAnsi="Arial" w:cs="Arial"/>
          <w:color w:val="475055"/>
        </w:rPr>
        <w:t>Where section 194Q applies, section 206C(1H) shall not apply.</w:t>
      </w:r>
    </w:p>
    <w:p w14:paraId="60E1BF75" w14:textId="0F2E598B" w:rsidR="00DE4E69" w:rsidRDefault="00DE4E69"/>
    <w:p w14:paraId="51E50446" w14:textId="77777777" w:rsidR="00DE4E69" w:rsidRDefault="00DE4E69" w:rsidP="00DE4E69">
      <w:pPr>
        <w:pStyle w:val="NormalWeb"/>
        <w:shd w:val="clear" w:color="auto" w:fill="FFFFFF"/>
        <w:spacing w:before="0" w:beforeAutospacing="0" w:after="150" w:afterAutospacing="0"/>
        <w:jc w:val="both"/>
        <w:rPr>
          <w:rFonts w:ascii="Arial" w:hAnsi="Arial" w:cs="Arial"/>
          <w:color w:val="475055"/>
        </w:rPr>
      </w:pPr>
      <w:r>
        <w:rPr>
          <w:rStyle w:val="Strong"/>
          <w:rFonts w:ascii="Arial" w:hAnsi="Arial" w:cs="Arial"/>
          <w:color w:val="475055"/>
          <w:u w:val="single"/>
        </w:rPr>
        <w:t>Section 206AA – TDS ON PAYMENTS to Non – providers of PAN (w.e.f. 1.4.2010) </w:t>
      </w:r>
    </w:p>
    <w:p w14:paraId="59E1E50B" w14:textId="40481DB8" w:rsidR="00DE4E69" w:rsidRDefault="00DE4E69" w:rsidP="00DE4E69">
      <w:pPr>
        <w:pStyle w:val="NormalWeb"/>
        <w:shd w:val="clear" w:color="auto" w:fill="FFFFFF"/>
        <w:spacing w:before="0" w:beforeAutospacing="0" w:after="150" w:afterAutospacing="0"/>
        <w:jc w:val="both"/>
        <w:rPr>
          <w:rFonts w:ascii="Arial" w:hAnsi="Arial" w:cs="Arial"/>
          <w:color w:val="475055"/>
        </w:rPr>
      </w:pPr>
      <w:r>
        <w:rPr>
          <w:rFonts w:ascii="Arial" w:hAnsi="Arial" w:cs="Arial"/>
          <w:color w:val="475055"/>
        </w:rPr>
        <w:t>1) HIGHER of – specified </w:t>
      </w:r>
      <w:r>
        <w:rPr>
          <w:rFonts w:ascii="Arial" w:hAnsi="Arial" w:cs="Arial"/>
          <w:color w:val="475055"/>
          <w:u w:val="single"/>
        </w:rPr>
        <w:t>rate</w:t>
      </w:r>
      <w:r w:rsidR="00C27520">
        <w:rPr>
          <w:rFonts w:ascii="Arial" w:hAnsi="Arial" w:cs="Arial"/>
          <w:color w:val="475055"/>
          <w:u w:val="single"/>
        </w:rPr>
        <w:t xml:space="preserve"> </w:t>
      </w:r>
      <w:r>
        <w:rPr>
          <w:rFonts w:ascii="Arial" w:hAnsi="Arial" w:cs="Arial"/>
          <w:color w:val="475055"/>
        </w:rPr>
        <w:t>or </w:t>
      </w:r>
      <w:r>
        <w:rPr>
          <w:rFonts w:ascii="Arial" w:hAnsi="Arial" w:cs="Arial"/>
          <w:color w:val="475055"/>
          <w:u w:val="single"/>
        </w:rPr>
        <w:t>20%</w:t>
      </w:r>
    </w:p>
    <w:p w14:paraId="2A0C0C88" w14:textId="77777777" w:rsidR="00DE4E69" w:rsidRDefault="00DE4E69" w:rsidP="00DE4E69">
      <w:pPr>
        <w:pStyle w:val="NormalWeb"/>
        <w:shd w:val="clear" w:color="auto" w:fill="FFFFFF"/>
        <w:spacing w:before="0" w:beforeAutospacing="0" w:after="150" w:afterAutospacing="0"/>
        <w:jc w:val="both"/>
        <w:rPr>
          <w:rFonts w:ascii="Arial" w:hAnsi="Arial" w:cs="Arial"/>
          <w:color w:val="475055"/>
        </w:rPr>
      </w:pPr>
      <w:r>
        <w:rPr>
          <w:rFonts w:ascii="Arial" w:hAnsi="Arial" w:cs="Arial"/>
          <w:color w:val="475055"/>
        </w:rPr>
        <w:t>2) However, for Section 194O and 194Q, it shall be read as –</w:t>
      </w:r>
    </w:p>
    <w:p w14:paraId="2B497887" w14:textId="77777777" w:rsidR="00DE4E69" w:rsidRDefault="00DE4E69" w:rsidP="00DE4E69">
      <w:pPr>
        <w:pStyle w:val="NormalWeb"/>
        <w:shd w:val="clear" w:color="auto" w:fill="FFFFFF"/>
        <w:spacing w:before="0" w:beforeAutospacing="0" w:after="150" w:afterAutospacing="0"/>
        <w:jc w:val="both"/>
        <w:rPr>
          <w:rFonts w:ascii="Arial" w:hAnsi="Arial" w:cs="Arial"/>
          <w:color w:val="475055"/>
        </w:rPr>
      </w:pPr>
      <w:r>
        <w:rPr>
          <w:rStyle w:val="Strong"/>
          <w:rFonts w:ascii="Arial" w:hAnsi="Arial" w:cs="Arial"/>
          <w:color w:val="475055"/>
        </w:rPr>
        <w:t>HIGHER of – applicable rate or </w:t>
      </w:r>
      <w:r>
        <w:rPr>
          <w:rStyle w:val="Strong"/>
          <w:rFonts w:ascii="Arial" w:hAnsi="Arial" w:cs="Arial"/>
          <w:color w:val="475055"/>
          <w:u w:val="single"/>
        </w:rPr>
        <w:t>5%</w:t>
      </w:r>
    </w:p>
    <w:p w14:paraId="3CA19295" w14:textId="77777777" w:rsidR="00DE4E69" w:rsidRDefault="00DE4E69" w:rsidP="00DE4E69">
      <w:pPr>
        <w:pStyle w:val="NormalWeb"/>
        <w:shd w:val="clear" w:color="auto" w:fill="FFFFFF"/>
        <w:spacing w:before="0" w:beforeAutospacing="0" w:after="150" w:afterAutospacing="0"/>
        <w:jc w:val="both"/>
        <w:rPr>
          <w:rFonts w:ascii="Arial" w:hAnsi="Arial" w:cs="Arial"/>
          <w:color w:val="475055"/>
        </w:rPr>
      </w:pPr>
      <w:r>
        <w:rPr>
          <w:rStyle w:val="Emphasis"/>
          <w:rFonts w:ascii="Arial" w:hAnsi="Arial" w:cs="Arial"/>
          <w:color w:val="475055"/>
          <w:u w:val="single"/>
        </w:rPr>
        <w:t> (Second Proviso to Section 206AA regarding Section 194 Q inserted w.e.f. 01.7.2021 by Finance Act, 2021) </w:t>
      </w:r>
    </w:p>
    <w:p w14:paraId="1D81392B" w14:textId="77777777" w:rsidR="00DE4E69" w:rsidRDefault="00DE4E69" w:rsidP="00DE4E69">
      <w:pPr>
        <w:pStyle w:val="NormalWeb"/>
        <w:shd w:val="clear" w:color="auto" w:fill="FFFFFF"/>
        <w:spacing w:before="0" w:beforeAutospacing="0" w:after="150" w:afterAutospacing="0"/>
        <w:jc w:val="both"/>
        <w:rPr>
          <w:rFonts w:ascii="Arial" w:hAnsi="Arial" w:cs="Arial"/>
          <w:color w:val="475055"/>
        </w:rPr>
      </w:pPr>
      <w:r>
        <w:rPr>
          <w:rStyle w:val="Emphasis"/>
          <w:rFonts w:ascii="Arial" w:hAnsi="Arial" w:cs="Arial"/>
          <w:color w:val="475055"/>
          <w:u w:val="single"/>
        </w:rPr>
        <w:t xml:space="preserve">[This section starts with </w:t>
      </w:r>
      <w:proofErr w:type="gramStart"/>
      <w:r>
        <w:rPr>
          <w:rStyle w:val="Emphasis"/>
          <w:rFonts w:ascii="Arial" w:hAnsi="Arial" w:cs="Arial"/>
          <w:color w:val="475055"/>
          <w:u w:val="single"/>
        </w:rPr>
        <w:t>Non-obstante</w:t>
      </w:r>
      <w:proofErr w:type="gramEnd"/>
      <w:r>
        <w:rPr>
          <w:rStyle w:val="Emphasis"/>
          <w:rFonts w:ascii="Arial" w:hAnsi="Arial" w:cs="Arial"/>
          <w:color w:val="475055"/>
          <w:u w:val="single"/>
        </w:rPr>
        <w:t xml:space="preserve"> clause and accordingly has overriding effect over other provisions of the Act.]</w:t>
      </w:r>
    </w:p>
    <w:p w14:paraId="002DD5EF" w14:textId="7E491174" w:rsidR="00DE4E69" w:rsidRDefault="00DE4E69"/>
    <w:p w14:paraId="542F92FA" w14:textId="40265E68" w:rsidR="00C27520" w:rsidRDefault="00C27520"/>
    <w:p w14:paraId="1B00909A" w14:textId="77777777" w:rsidR="00C27520" w:rsidRDefault="00C27520"/>
    <w:p w14:paraId="54AC4B2F" w14:textId="05E54FD6" w:rsidR="00DE4E69" w:rsidRDefault="00DE4E69">
      <w:pPr>
        <w:rPr>
          <w:rStyle w:val="Strong"/>
          <w:rFonts w:ascii="Arial" w:hAnsi="Arial" w:cs="Arial"/>
          <w:color w:val="475055"/>
          <w:u w:val="single"/>
          <w:shd w:val="clear" w:color="auto" w:fill="FFFFFF"/>
        </w:rPr>
      </w:pPr>
      <w:r w:rsidRPr="00DE4E69">
        <w:rPr>
          <w:rStyle w:val="Strong"/>
          <w:rFonts w:ascii="Arial" w:hAnsi="Arial" w:cs="Arial"/>
          <w:color w:val="475055"/>
          <w:u w:val="single"/>
          <w:shd w:val="clear" w:color="auto" w:fill="FFFFFF"/>
        </w:rPr>
        <w:t>Section 206AB – TDS on Non – filers of Returns (w.e.f. 01.07.2021) </w:t>
      </w:r>
    </w:p>
    <w:p w14:paraId="771B8F1B" w14:textId="77777777" w:rsidR="00DE4E69" w:rsidRDefault="00DE4E69" w:rsidP="00DE4E69">
      <w:pPr>
        <w:pStyle w:val="NormalWeb"/>
        <w:shd w:val="clear" w:color="auto" w:fill="FFFFFF"/>
        <w:spacing w:before="0" w:beforeAutospacing="0" w:after="150" w:afterAutospacing="0"/>
        <w:jc w:val="both"/>
        <w:rPr>
          <w:rFonts w:ascii="Arial" w:hAnsi="Arial" w:cs="Arial"/>
          <w:color w:val="475055"/>
        </w:rPr>
      </w:pPr>
      <w:r>
        <w:rPr>
          <w:rStyle w:val="Emphasis"/>
          <w:rFonts w:ascii="Arial" w:hAnsi="Arial" w:cs="Arial"/>
          <w:color w:val="475055"/>
        </w:rPr>
        <w:t>[A person who has Not filed Income Tax returns of immediately preceding TWO financial years within time limit prescribed u/s 139(1) and aggregate of TDS deducted and TCS collected in his case is Rs.50,000 or more in each of the two preceding years]</w:t>
      </w:r>
    </w:p>
    <w:p w14:paraId="774DE8FB" w14:textId="77777777" w:rsidR="00DE4E69" w:rsidRDefault="00DE4E69" w:rsidP="00DE4E69">
      <w:pPr>
        <w:pStyle w:val="NormalWeb"/>
        <w:shd w:val="clear" w:color="auto" w:fill="FFFFFF"/>
        <w:spacing w:before="0" w:beforeAutospacing="0" w:after="150" w:afterAutospacing="0"/>
        <w:jc w:val="both"/>
        <w:rPr>
          <w:rFonts w:ascii="Arial" w:hAnsi="Arial" w:cs="Arial"/>
          <w:color w:val="475055"/>
        </w:rPr>
      </w:pPr>
      <w:r>
        <w:rPr>
          <w:rFonts w:ascii="Arial" w:hAnsi="Arial" w:cs="Arial"/>
          <w:color w:val="475055"/>
        </w:rPr>
        <w:t>1) PAN </w:t>
      </w:r>
      <w:r>
        <w:rPr>
          <w:rFonts w:ascii="Arial" w:hAnsi="Arial" w:cs="Arial"/>
          <w:color w:val="475055"/>
          <w:u w:val="single"/>
        </w:rPr>
        <w:t>available </w:t>
      </w:r>
      <w:r>
        <w:rPr>
          <w:rFonts w:ascii="Arial" w:hAnsi="Arial" w:cs="Arial"/>
          <w:color w:val="475055"/>
        </w:rPr>
        <w:t>– HIGHER of – </w:t>
      </w:r>
      <w:r>
        <w:rPr>
          <w:rFonts w:ascii="Arial" w:hAnsi="Arial" w:cs="Arial"/>
          <w:color w:val="475055"/>
          <w:u w:val="single"/>
        </w:rPr>
        <w:t>Twice</w:t>
      </w:r>
      <w:r>
        <w:rPr>
          <w:rFonts w:ascii="Arial" w:hAnsi="Arial" w:cs="Arial"/>
          <w:color w:val="475055"/>
        </w:rPr>
        <w:t> the specified </w:t>
      </w:r>
      <w:r>
        <w:rPr>
          <w:rFonts w:ascii="Arial" w:hAnsi="Arial" w:cs="Arial"/>
          <w:color w:val="475055"/>
          <w:u w:val="single"/>
        </w:rPr>
        <w:t>rate</w:t>
      </w:r>
      <w:r>
        <w:rPr>
          <w:rFonts w:ascii="Arial" w:hAnsi="Arial" w:cs="Arial"/>
          <w:color w:val="475055"/>
        </w:rPr>
        <w:t> or </w:t>
      </w:r>
      <w:r>
        <w:rPr>
          <w:rFonts w:ascii="Arial" w:hAnsi="Arial" w:cs="Arial"/>
          <w:color w:val="475055"/>
          <w:u w:val="single"/>
        </w:rPr>
        <w:t>5</w:t>
      </w:r>
      <w:proofErr w:type="gramStart"/>
      <w:r>
        <w:rPr>
          <w:rFonts w:ascii="Arial" w:hAnsi="Arial" w:cs="Arial"/>
          <w:color w:val="475055"/>
          <w:u w:val="single"/>
        </w:rPr>
        <w:t>% ;</w:t>
      </w:r>
      <w:proofErr w:type="gramEnd"/>
      <w:r>
        <w:rPr>
          <w:rFonts w:ascii="Arial" w:hAnsi="Arial" w:cs="Arial"/>
          <w:color w:val="475055"/>
          <w:u w:val="single"/>
        </w:rPr>
        <w:t xml:space="preserve"> Section 206AB(1);</w:t>
      </w:r>
    </w:p>
    <w:p w14:paraId="02EFCDDD" w14:textId="77777777" w:rsidR="00DE4E69" w:rsidRDefault="00DE4E69" w:rsidP="00DE4E69">
      <w:pPr>
        <w:pStyle w:val="NormalWeb"/>
        <w:shd w:val="clear" w:color="auto" w:fill="FFFFFF"/>
        <w:spacing w:before="0" w:beforeAutospacing="0" w:after="150" w:afterAutospacing="0"/>
        <w:jc w:val="both"/>
        <w:rPr>
          <w:rFonts w:ascii="Arial" w:hAnsi="Arial" w:cs="Arial"/>
          <w:color w:val="475055"/>
        </w:rPr>
      </w:pPr>
      <w:r>
        <w:rPr>
          <w:rFonts w:ascii="Arial" w:hAnsi="Arial" w:cs="Arial"/>
          <w:color w:val="475055"/>
        </w:rPr>
        <w:t>2) PAN </w:t>
      </w:r>
      <w:r>
        <w:rPr>
          <w:rFonts w:ascii="Arial" w:hAnsi="Arial" w:cs="Arial"/>
          <w:color w:val="475055"/>
          <w:u w:val="single"/>
        </w:rPr>
        <w:t>not available </w:t>
      </w:r>
      <w:r>
        <w:rPr>
          <w:rFonts w:ascii="Arial" w:hAnsi="Arial" w:cs="Arial"/>
          <w:color w:val="475055"/>
        </w:rPr>
        <w:t>– HIGHER of – specified rate / 5% as per section 206AB (1</w:t>
      </w:r>
      <w:proofErr w:type="gramStart"/>
      <w:r>
        <w:rPr>
          <w:rFonts w:ascii="Arial" w:hAnsi="Arial" w:cs="Arial"/>
          <w:color w:val="475055"/>
        </w:rPr>
        <w:t>);  or</w:t>
      </w:r>
      <w:proofErr w:type="gramEnd"/>
      <w:r>
        <w:rPr>
          <w:rFonts w:ascii="Arial" w:hAnsi="Arial" w:cs="Arial"/>
          <w:color w:val="475055"/>
        </w:rPr>
        <w:t> </w:t>
      </w:r>
      <w:r>
        <w:rPr>
          <w:rFonts w:ascii="Arial" w:hAnsi="Arial" w:cs="Arial"/>
          <w:color w:val="475055"/>
          <w:u w:val="single"/>
        </w:rPr>
        <w:t>20% as per  Section 206AA, except for Section 194Q @ 5%</w:t>
      </w:r>
      <w:r>
        <w:rPr>
          <w:rFonts w:ascii="Arial" w:hAnsi="Arial" w:cs="Arial"/>
          <w:color w:val="475055"/>
        </w:rPr>
        <w:t> </w:t>
      </w:r>
      <w:r>
        <w:rPr>
          <w:rStyle w:val="Emphasis"/>
          <w:rFonts w:ascii="Arial" w:hAnsi="Arial" w:cs="Arial"/>
          <w:color w:val="475055"/>
        </w:rPr>
        <w:t>[since 2</w:t>
      </w:r>
      <w:r>
        <w:rPr>
          <w:rStyle w:val="Emphasis"/>
          <w:rFonts w:ascii="Arial" w:hAnsi="Arial" w:cs="Arial"/>
          <w:color w:val="475055"/>
          <w:sz w:val="18"/>
          <w:szCs w:val="18"/>
          <w:vertAlign w:val="superscript"/>
        </w:rPr>
        <w:t>nd</w:t>
      </w:r>
      <w:r>
        <w:rPr>
          <w:rStyle w:val="Emphasis"/>
          <w:rFonts w:ascii="Arial" w:hAnsi="Arial" w:cs="Arial"/>
          <w:color w:val="475055"/>
        </w:rPr>
        <w:t> Proviso to Section 206AA(1) applies which states </w:t>
      </w:r>
      <w:proofErr w:type="spellStart"/>
      <w:r>
        <w:rPr>
          <w:rStyle w:val="Emphasis"/>
          <w:rFonts w:ascii="Arial" w:hAnsi="Arial" w:cs="Arial"/>
          <w:color w:val="475055"/>
          <w:u w:val="single"/>
        </w:rPr>
        <w:t>rate</w:t>
      </w:r>
      <w:r>
        <w:rPr>
          <w:rStyle w:val="Emphasis"/>
          <w:rFonts w:ascii="Arial" w:hAnsi="Arial" w:cs="Arial"/>
          <w:color w:val="475055"/>
        </w:rPr>
        <w:t>of</w:t>
      </w:r>
      <w:proofErr w:type="spellEnd"/>
      <w:r>
        <w:rPr>
          <w:rStyle w:val="Emphasis"/>
          <w:rFonts w:ascii="Arial" w:hAnsi="Arial" w:cs="Arial"/>
          <w:color w:val="475055"/>
        </w:rPr>
        <w:t> </w:t>
      </w:r>
      <w:r>
        <w:rPr>
          <w:rStyle w:val="Emphasis"/>
          <w:rFonts w:ascii="Arial" w:hAnsi="Arial" w:cs="Arial"/>
          <w:color w:val="475055"/>
          <w:u w:val="single"/>
        </w:rPr>
        <w:t>5%</w:t>
      </w:r>
      <w:r>
        <w:rPr>
          <w:rStyle w:val="Emphasis"/>
          <w:rFonts w:ascii="Arial" w:hAnsi="Arial" w:cs="Arial"/>
          <w:color w:val="475055"/>
        </w:rPr>
        <w:t>.]</w:t>
      </w:r>
    </w:p>
    <w:p w14:paraId="44B94152" w14:textId="77777777" w:rsidR="00DE4E69" w:rsidRDefault="00DE4E69" w:rsidP="00DE4E69">
      <w:pPr>
        <w:pStyle w:val="NormalWeb"/>
        <w:shd w:val="clear" w:color="auto" w:fill="FFFFFF"/>
        <w:spacing w:before="0" w:beforeAutospacing="0" w:after="150" w:afterAutospacing="0"/>
        <w:jc w:val="both"/>
        <w:rPr>
          <w:rFonts w:ascii="Arial" w:hAnsi="Arial" w:cs="Arial"/>
          <w:color w:val="475055"/>
        </w:rPr>
      </w:pPr>
      <w:r>
        <w:rPr>
          <w:rFonts w:ascii="Arial" w:hAnsi="Arial" w:cs="Arial"/>
          <w:color w:val="475055"/>
        </w:rPr>
        <w:t>3) This section starts with Non – obstante clause and accordingly has overriding effect over other provisions of the Act</w:t>
      </w:r>
      <w:proofErr w:type="gramStart"/>
      <w:r>
        <w:rPr>
          <w:rFonts w:ascii="Arial" w:hAnsi="Arial" w:cs="Arial"/>
          <w:color w:val="475055"/>
        </w:rPr>
        <w:t>. ]</w:t>
      </w:r>
      <w:proofErr w:type="gramEnd"/>
    </w:p>
    <w:p w14:paraId="120BBCD0" w14:textId="77777777" w:rsidR="00DE4E69" w:rsidRDefault="00DE4E69" w:rsidP="00DE4E69">
      <w:pPr>
        <w:pStyle w:val="NormalWeb"/>
        <w:shd w:val="clear" w:color="auto" w:fill="FFFFFF"/>
        <w:spacing w:before="0" w:beforeAutospacing="0" w:after="150" w:afterAutospacing="0"/>
        <w:jc w:val="both"/>
        <w:rPr>
          <w:rFonts w:ascii="Arial" w:hAnsi="Arial" w:cs="Arial"/>
          <w:color w:val="475055"/>
        </w:rPr>
      </w:pPr>
      <w:r>
        <w:rPr>
          <w:rFonts w:ascii="Arial" w:hAnsi="Arial" w:cs="Arial"/>
          <w:color w:val="475055"/>
        </w:rPr>
        <w:t>4) Please see Note 2 below</w:t>
      </w:r>
    </w:p>
    <w:p w14:paraId="3AD7C9FD" w14:textId="7C6CAA6B" w:rsidR="00DE4E69" w:rsidRDefault="00DE4E69"/>
    <w:p w14:paraId="3D8937EE" w14:textId="77777777" w:rsidR="00DE4E69" w:rsidRDefault="00DE4E69" w:rsidP="00DE4E69">
      <w:pPr>
        <w:pStyle w:val="NormalWeb"/>
        <w:shd w:val="clear" w:color="auto" w:fill="FFFFFF"/>
        <w:spacing w:before="0" w:beforeAutospacing="0" w:after="150" w:afterAutospacing="0"/>
        <w:jc w:val="both"/>
        <w:rPr>
          <w:rFonts w:ascii="Arial" w:hAnsi="Arial" w:cs="Arial"/>
          <w:color w:val="475055"/>
        </w:rPr>
      </w:pPr>
      <w:r>
        <w:rPr>
          <w:rStyle w:val="Strong"/>
          <w:rFonts w:ascii="Arial" w:hAnsi="Arial" w:cs="Arial"/>
          <w:color w:val="475055"/>
          <w:u w:val="single"/>
        </w:rPr>
        <w:t xml:space="preserve">Section 206CC – TCS for failure to provide PAN BY PERSON MAKING PAYMENT </w:t>
      </w:r>
      <w:proofErr w:type="gramStart"/>
      <w:r>
        <w:rPr>
          <w:rStyle w:val="Strong"/>
          <w:rFonts w:ascii="Arial" w:hAnsi="Arial" w:cs="Arial"/>
          <w:color w:val="475055"/>
          <w:u w:val="single"/>
        </w:rPr>
        <w:t>( w.e.f.</w:t>
      </w:r>
      <w:proofErr w:type="gramEnd"/>
      <w:r>
        <w:rPr>
          <w:rStyle w:val="Strong"/>
          <w:rFonts w:ascii="Arial" w:hAnsi="Arial" w:cs="Arial"/>
          <w:color w:val="475055"/>
          <w:u w:val="single"/>
        </w:rPr>
        <w:t xml:space="preserve"> 1.4.2017 ) </w:t>
      </w:r>
    </w:p>
    <w:p w14:paraId="54337376" w14:textId="77777777" w:rsidR="00DE4E69" w:rsidRDefault="00DE4E69" w:rsidP="00DE4E69">
      <w:pPr>
        <w:pStyle w:val="NormalWeb"/>
        <w:shd w:val="clear" w:color="auto" w:fill="FFFFFF"/>
        <w:spacing w:before="0" w:beforeAutospacing="0" w:after="150" w:afterAutospacing="0"/>
        <w:jc w:val="both"/>
        <w:rPr>
          <w:rFonts w:ascii="Arial" w:hAnsi="Arial" w:cs="Arial"/>
          <w:color w:val="475055"/>
        </w:rPr>
      </w:pPr>
      <w:r>
        <w:rPr>
          <w:rStyle w:val="Strong"/>
          <w:rFonts w:ascii="Arial" w:hAnsi="Arial" w:cs="Arial"/>
          <w:color w:val="475055"/>
        </w:rPr>
        <w:t>1) HIGHER of – </w:t>
      </w:r>
      <w:proofErr w:type="spellStart"/>
      <w:r>
        <w:rPr>
          <w:rStyle w:val="Strong"/>
          <w:rFonts w:ascii="Arial" w:hAnsi="Arial" w:cs="Arial"/>
          <w:color w:val="475055"/>
          <w:u w:val="single"/>
        </w:rPr>
        <w:t>Twice</w:t>
      </w:r>
      <w:r>
        <w:rPr>
          <w:rStyle w:val="Strong"/>
          <w:rFonts w:ascii="Arial" w:hAnsi="Arial" w:cs="Arial"/>
          <w:color w:val="475055"/>
        </w:rPr>
        <w:t>the</w:t>
      </w:r>
      <w:proofErr w:type="spellEnd"/>
      <w:r>
        <w:rPr>
          <w:rStyle w:val="Strong"/>
          <w:rFonts w:ascii="Arial" w:hAnsi="Arial" w:cs="Arial"/>
          <w:color w:val="475055"/>
        </w:rPr>
        <w:t xml:space="preserve"> specified </w:t>
      </w:r>
      <w:r>
        <w:rPr>
          <w:rStyle w:val="Strong"/>
          <w:rFonts w:ascii="Arial" w:hAnsi="Arial" w:cs="Arial"/>
          <w:color w:val="475055"/>
          <w:u w:val="single"/>
        </w:rPr>
        <w:t>rate</w:t>
      </w:r>
      <w:r>
        <w:rPr>
          <w:rStyle w:val="Strong"/>
          <w:rFonts w:ascii="Arial" w:hAnsi="Arial" w:cs="Arial"/>
          <w:color w:val="475055"/>
        </w:rPr>
        <w:t> or </w:t>
      </w:r>
      <w:r>
        <w:rPr>
          <w:rStyle w:val="Strong"/>
          <w:rFonts w:ascii="Arial" w:hAnsi="Arial" w:cs="Arial"/>
          <w:color w:val="475055"/>
          <w:u w:val="single"/>
        </w:rPr>
        <w:t>5</w:t>
      </w:r>
      <w:proofErr w:type="gramStart"/>
      <w:r>
        <w:rPr>
          <w:rStyle w:val="Strong"/>
          <w:rFonts w:ascii="Arial" w:hAnsi="Arial" w:cs="Arial"/>
          <w:color w:val="475055"/>
          <w:u w:val="single"/>
        </w:rPr>
        <w:t>% ;</w:t>
      </w:r>
      <w:proofErr w:type="gramEnd"/>
      <w:r>
        <w:rPr>
          <w:rStyle w:val="Strong"/>
          <w:rFonts w:ascii="Arial" w:hAnsi="Arial" w:cs="Arial"/>
          <w:color w:val="475055"/>
          <w:u w:val="single"/>
        </w:rPr>
        <w:t xml:space="preserve"> Section 206CC(1) </w:t>
      </w:r>
    </w:p>
    <w:p w14:paraId="54E15314" w14:textId="77777777" w:rsidR="00DE4E69" w:rsidRDefault="00DE4E69" w:rsidP="00DE4E69">
      <w:pPr>
        <w:pStyle w:val="NormalWeb"/>
        <w:shd w:val="clear" w:color="auto" w:fill="FFFFFF"/>
        <w:spacing w:before="0" w:beforeAutospacing="0" w:after="150" w:afterAutospacing="0"/>
        <w:jc w:val="both"/>
        <w:rPr>
          <w:rFonts w:ascii="Arial" w:hAnsi="Arial" w:cs="Arial"/>
          <w:color w:val="475055"/>
        </w:rPr>
      </w:pPr>
      <w:r>
        <w:rPr>
          <w:rFonts w:ascii="Arial" w:hAnsi="Arial" w:cs="Arial"/>
          <w:color w:val="475055"/>
          <w:u w:val="single"/>
        </w:rPr>
        <w:t>[</w:t>
      </w:r>
      <w:proofErr w:type="gramStart"/>
      <w:r>
        <w:rPr>
          <w:rFonts w:ascii="Arial" w:hAnsi="Arial" w:cs="Arial"/>
          <w:color w:val="475055"/>
        </w:rPr>
        <w:t>e.g.</w:t>
      </w:r>
      <w:proofErr w:type="gramEnd"/>
      <w:r>
        <w:rPr>
          <w:rFonts w:ascii="Arial" w:hAnsi="Arial" w:cs="Arial"/>
          <w:color w:val="475055"/>
        </w:rPr>
        <w:t xml:space="preserve"> under Liberalized Remittance Scheme (LRS), remittance exceeding Rs. 7 lakhs in a financial year or Overseas Tour Package, TCS rate is 5%, therefore if</w:t>
      </w:r>
      <w:r>
        <w:rPr>
          <w:rStyle w:val="Strong"/>
          <w:rFonts w:ascii="Arial" w:hAnsi="Arial" w:cs="Arial"/>
          <w:color w:val="475055"/>
        </w:rPr>
        <w:t> </w:t>
      </w:r>
      <w:hyperlink r:id="rId7" w:tgtFrame="_blank" w:tooltip="Permanent Account Number (PAN)" w:history="1">
        <w:r>
          <w:rPr>
            <w:rStyle w:val="Hyperlink"/>
            <w:rFonts w:ascii="Arial" w:hAnsi="Arial" w:cs="Arial"/>
            <w:b/>
            <w:bCs/>
            <w:color w:val="337AB7"/>
          </w:rPr>
          <w:t>PAN</w:t>
        </w:r>
      </w:hyperlink>
      <w:r>
        <w:rPr>
          <w:rStyle w:val="Strong"/>
          <w:rFonts w:ascii="Arial" w:hAnsi="Arial" w:cs="Arial"/>
          <w:color w:val="475055"/>
        </w:rPr>
        <w:t> </w:t>
      </w:r>
      <w:r>
        <w:rPr>
          <w:rFonts w:ascii="Arial" w:hAnsi="Arial" w:cs="Arial"/>
          <w:color w:val="475055"/>
        </w:rPr>
        <w:t>is not provided then, TCS to be collected will be HIGHER OF – (a) Twice of specified TCS Rate of 5% and (b) 5%, i.e. 10%.]</w:t>
      </w:r>
    </w:p>
    <w:p w14:paraId="633CFE9B" w14:textId="77777777" w:rsidR="00DE4E69" w:rsidRDefault="00DE4E69" w:rsidP="00DE4E69">
      <w:pPr>
        <w:pStyle w:val="NormalWeb"/>
        <w:shd w:val="clear" w:color="auto" w:fill="FFFFFF"/>
        <w:spacing w:before="0" w:beforeAutospacing="0" w:after="150" w:afterAutospacing="0"/>
        <w:jc w:val="both"/>
        <w:rPr>
          <w:rFonts w:ascii="Arial" w:hAnsi="Arial" w:cs="Arial"/>
          <w:color w:val="475055"/>
        </w:rPr>
      </w:pPr>
      <w:r>
        <w:rPr>
          <w:rFonts w:ascii="Arial" w:hAnsi="Arial" w:cs="Arial"/>
          <w:color w:val="475055"/>
        </w:rPr>
        <w:t xml:space="preserve">2) For Section 206C(1H) (TCS to be collected by Seller of goods </w:t>
      </w:r>
      <w:proofErr w:type="gramStart"/>
      <w:r>
        <w:rPr>
          <w:rFonts w:ascii="Arial" w:hAnsi="Arial" w:cs="Arial"/>
          <w:color w:val="475055"/>
        </w:rPr>
        <w:t>from  Buyer</w:t>
      </w:r>
      <w:proofErr w:type="gramEnd"/>
      <w:r>
        <w:rPr>
          <w:rFonts w:ascii="Arial" w:hAnsi="Arial" w:cs="Arial"/>
          <w:color w:val="475055"/>
        </w:rPr>
        <w:t>)  :  HIGHER of – </w:t>
      </w:r>
      <w:proofErr w:type="spellStart"/>
      <w:r>
        <w:rPr>
          <w:rFonts w:ascii="Arial" w:hAnsi="Arial" w:cs="Arial"/>
          <w:color w:val="475055"/>
          <w:u w:val="single"/>
        </w:rPr>
        <w:t>Twice</w:t>
      </w:r>
      <w:r>
        <w:rPr>
          <w:rFonts w:ascii="Arial" w:hAnsi="Arial" w:cs="Arial"/>
          <w:color w:val="475055"/>
        </w:rPr>
        <w:t>the</w:t>
      </w:r>
      <w:proofErr w:type="spellEnd"/>
      <w:r>
        <w:rPr>
          <w:rFonts w:ascii="Arial" w:hAnsi="Arial" w:cs="Arial"/>
          <w:color w:val="475055"/>
        </w:rPr>
        <w:t xml:space="preserve"> specified </w:t>
      </w:r>
      <w:r>
        <w:rPr>
          <w:rFonts w:ascii="Arial" w:hAnsi="Arial" w:cs="Arial"/>
          <w:color w:val="475055"/>
          <w:u w:val="single"/>
        </w:rPr>
        <w:t>rate  ( twice of 0.10% i.e. 0.20% ) or 1%  ( First Proviso to Section 206C (IH ) read with Section 206CC(1); ( Providing Aadhar Number is optional for Buyer ).</w:t>
      </w:r>
    </w:p>
    <w:p w14:paraId="36006011" w14:textId="77777777" w:rsidR="00DE4E69" w:rsidRDefault="00DE4E69" w:rsidP="00DE4E69">
      <w:pPr>
        <w:pStyle w:val="NormalWeb"/>
        <w:shd w:val="clear" w:color="auto" w:fill="FFFFFF"/>
        <w:spacing w:before="0" w:beforeAutospacing="0" w:after="150" w:afterAutospacing="0"/>
        <w:jc w:val="both"/>
        <w:rPr>
          <w:rFonts w:ascii="Arial" w:hAnsi="Arial" w:cs="Arial"/>
          <w:color w:val="475055"/>
        </w:rPr>
      </w:pPr>
      <w:r>
        <w:rPr>
          <w:rFonts w:ascii="Arial" w:hAnsi="Arial" w:cs="Arial"/>
          <w:color w:val="475055"/>
          <w:u w:val="single"/>
        </w:rPr>
        <w:t xml:space="preserve">3) This section starts with </w:t>
      </w:r>
      <w:proofErr w:type="gramStart"/>
      <w:r>
        <w:rPr>
          <w:rFonts w:ascii="Arial" w:hAnsi="Arial" w:cs="Arial"/>
          <w:color w:val="475055"/>
          <w:u w:val="single"/>
        </w:rPr>
        <w:t>Non-obstante</w:t>
      </w:r>
      <w:proofErr w:type="gramEnd"/>
      <w:r>
        <w:rPr>
          <w:rFonts w:ascii="Arial" w:hAnsi="Arial" w:cs="Arial"/>
          <w:color w:val="475055"/>
          <w:u w:val="single"/>
        </w:rPr>
        <w:t xml:space="preserve"> clause and accordingly has overriding effect over other provisions of the Act. </w:t>
      </w:r>
    </w:p>
    <w:p w14:paraId="6FD2D51C" w14:textId="373596B2" w:rsidR="00DE4E69" w:rsidRDefault="00DE4E69"/>
    <w:p w14:paraId="1D986AAD" w14:textId="77777777" w:rsidR="00DE4E69" w:rsidRDefault="00DE4E69" w:rsidP="00DE4E69">
      <w:pPr>
        <w:pStyle w:val="NormalWeb"/>
        <w:shd w:val="clear" w:color="auto" w:fill="FFFFFF"/>
        <w:spacing w:before="0" w:beforeAutospacing="0" w:after="150" w:afterAutospacing="0"/>
        <w:jc w:val="both"/>
        <w:rPr>
          <w:rFonts w:ascii="Arial" w:hAnsi="Arial" w:cs="Arial"/>
          <w:color w:val="475055"/>
        </w:rPr>
      </w:pPr>
      <w:r>
        <w:rPr>
          <w:rStyle w:val="Strong"/>
          <w:rFonts w:ascii="Arial" w:hAnsi="Arial" w:cs="Arial"/>
          <w:color w:val="475055"/>
          <w:u w:val="single"/>
        </w:rPr>
        <w:t xml:space="preserve">Section 206CCA – TCS of </w:t>
      </w:r>
      <w:proofErr w:type="spellStart"/>
      <w:r>
        <w:rPr>
          <w:rStyle w:val="Strong"/>
          <w:rFonts w:ascii="Arial" w:hAnsi="Arial" w:cs="Arial"/>
          <w:color w:val="475055"/>
          <w:u w:val="single"/>
        </w:rPr>
        <w:t>Non filers</w:t>
      </w:r>
      <w:proofErr w:type="spellEnd"/>
      <w:r>
        <w:rPr>
          <w:rStyle w:val="Strong"/>
          <w:rFonts w:ascii="Arial" w:hAnsi="Arial" w:cs="Arial"/>
          <w:color w:val="475055"/>
          <w:u w:val="single"/>
        </w:rPr>
        <w:t xml:space="preserve"> of Returns </w:t>
      </w:r>
      <w:proofErr w:type="gramStart"/>
      <w:r>
        <w:rPr>
          <w:rStyle w:val="Strong"/>
          <w:rFonts w:ascii="Arial" w:hAnsi="Arial" w:cs="Arial"/>
          <w:color w:val="475055"/>
          <w:u w:val="single"/>
        </w:rPr>
        <w:t>( w.e.f.</w:t>
      </w:r>
      <w:proofErr w:type="gramEnd"/>
      <w:r>
        <w:rPr>
          <w:rStyle w:val="Strong"/>
          <w:rFonts w:ascii="Arial" w:hAnsi="Arial" w:cs="Arial"/>
          <w:color w:val="475055"/>
          <w:u w:val="single"/>
        </w:rPr>
        <w:t xml:space="preserve"> 1.7.2021) </w:t>
      </w:r>
    </w:p>
    <w:p w14:paraId="7B412F95" w14:textId="77777777" w:rsidR="00DE4E69" w:rsidRDefault="00DE4E69" w:rsidP="00DE4E69">
      <w:pPr>
        <w:pStyle w:val="NormalWeb"/>
        <w:shd w:val="clear" w:color="auto" w:fill="FFFFFF"/>
        <w:spacing w:before="0" w:beforeAutospacing="0" w:after="150" w:afterAutospacing="0"/>
        <w:jc w:val="both"/>
        <w:rPr>
          <w:rFonts w:ascii="Arial" w:hAnsi="Arial" w:cs="Arial"/>
          <w:color w:val="475055"/>
        </w:rPr>
      </w:pPr>
      <w:r>
        <w:rPr>
          <w:rStyle w:val="Strong"/>
          <w:rFonts w:ascii="Arial" w:hAnsi="Arial" w:cs="Arial"/>
          <w:color w:val="475055"/>
        </w:rPr>
        <w:t>(A person who has Not filed returns of immediately preceding TWO financial years and aggregate of TDS deducted and TCS collected in his case is Rs.50,000 or more in each of the two preceding years) –</w:t>
      </w:r>
    </w:p>
    <w:p w14:paraId="0ECB64F0" w14:textId="77777777" w:rsidR="00DE4E69" w:rsidRDefault="00DE4E69" w:rsidP="00DE4E69">
      <w:pPr>
        <w:pStyle w:val="NormalWeb"/>
        <w:shd w:val="clear" w:color="auto" w:fill="FFFFFF"/>
        <w:spacing w:before="0" w:beforeAutospacing="0" w:after="150" w:afterAutospacing="0"/>
        <w:jc w:val="both"/>
        <w:rPr>
          <w:rFonts w:ascii="Arial" w:hAnsi="Arial" w:cs="Arial"/>
          <w:color w:val="475055"/>
        </w:rPr>
      </w:pPr>
      <w:r>
        <w:rPr>
          <w:rStyle w:val="Strong"/>
          <w:rFonts w:ascii="Arial" w:hAnsi="Arial" w:cs="Arial"/>
          <w:color w:val="475055"/>
        </w:rPr>
        <w:t>1. HIGHER of – </w:t>
      </w:r>
      <w:proofErr w:type="spellStart"/>
      <w:r>
        <w:rPr>
          <w:rStyle w:val="Strong"/>
          <w:rFonts w:ascii="Arial" w:hAnsi="Arial" w:cs="Arial"/>
          <w:color w:val="475055"/>
          <w:u w:val="single"/>
        </w:rPr>
        <w:t>Twice</w:t>
      </w:r>
      <w:r>
        <w:rPr>
          <w:rStyle w:val="Strong"/>
          <w:rFonts w:ascii="Arial" w:hAnsi="Arial" w:cs="Arial"/>
          <w:color w:val="475055"/>
        </w:rPr>
        <w:t>the</w:t>
      </w:r>
      <w:proofErr w:type="spellEnd"/>
      <w:r>
        <w:rPr>
          <w:rStyle w:val="Strong"/>
          <w:rFonts w:ascii="Arial" w:hAnsi="Arial" w:cs="Arial"/>
          <w:color w:val="475055"/>
        </w:rPr>
        <w:t xml:space="preserve"> specified </w:t>
      </w:r>
      <w:r>
        <w:rPr>
          <w:rStyle w:val="Strong"/>
          <w:rFonts w:ascii="Arial" w:hAnsi="Arial" w:cs="Arial"/>
          <w:color w:val="475055"/>
          <w:u w:val="single"/>
        </w:rPr>
        <w:t>rate</w:t>
      </w:r>
      <w:r>
        <w:rPr>
          <w:rStyle w:val="Strong"/>
          <w:rFonts w:ascii="Arial" w:hAnsi="Arial" w:cs="Arial"/>
          <w:color w:val="475055"/>
        </w:rPr>
        <w:t> or </w:t>
      </w:r>
      <w:r>
        <w:rPr>
          <w:rStyle w:val="Strong"/>
          <w:rFonts w:ascii="Arial" w:hAnsi="Arial" w:cs="Arial"/>
          <w:color w:val="475055"/>
          <w:u w:val="single"/>
        </w:rPr>
        <w:t>5%</w:t>
      </w:r>
    </w:p>
    <w:p w14:paraId="2BEBFDC4" w14:textId="77777777" w:rsidR="00DE4E69" w:rsidRDefault="00DE4E69" w:rsidP="00DE4E69">
      <w:pPr>
        <w:pStyle w:val="NormalWeb"/>
        <w:shd w:val="clear" w:color="auto" w:fill="FFFFFF"/>
        <w:spacing w:before="0" w:beforeAutospacing="0" w:after="150" w:afterAutospacing="0"/>
        <w:jc w:val="both"/>
        <w:rPr>
          <w:rFonts w:ascii="Arial" w:hAnsi="Arial" w:cs="Arial"/>
          <w:color w:val="475055"/>
        </w:rPr>
      </w:pPr>
      <w:r>
        <w:rPr>
          <w:rStyle w:val="Strong"/>
          <w:rFonts w:ascii="Arial" w:hAnsi="Arial" w:cs="Arial"/>
          <w:color w:val="475055"/>
        </w:rPr>
        <w:t>2. If PAN not provided to the person collecting tax, then HIGHER of rate Provided in Section 206</w:t>
      </w:r>
      <w:proofErr w:type="gramStart"/>
      <w:r>
        <w:rPr>
          <w:rStyle w:val="Strong"/>
          <w:rFonts w:ascii="Arial" w:hAnsi="Arial" w:cs="Arial"/>
          <w:color w:val="475055"/>
        </w:rPr>
        <w:t>CC(</w:t>
      </w:r>
      <w:proofErr w:type="gramEnd"/>
      <w:r>
        <w:rPr>
          <w:rStyle w:val="Strong"/>
          <w:rFonts w:ascii="Arial" w:hAnsi="Arial" w:cs="Arial"/>
          <w:color w:val="475055"/>
        </w:rPr>
        <w:t>1) (higher of twice the rate specified/ 5%) </w:t>
      </w:r>
      <w:r>
        <w:rPr>
          <w:rStyle w:val="Strong"/>
          <w:rFonts w:ascii="Arial" w:hAnsi="Arial" w:cs="Arial"/>
          <w:color w:val="475055"/>
          <w:u w:val="single"/>
        </w:rPr>
        <w:t>OR</w:t>
      </w:r>
      <w:r>
        <w:rPr>
          <w:rStyle w:val="Strong"/>
          <w:rFonts w:ascii="Arial" w:hAnsi="Arial" w:cs="Arial"/>
          <w:color w:val="475055"/>
        </w:rPr>
        <w:t> Twice the rate specified / 5% [section 206CCA (1)  and  section 206CCA(2)].</w:t>
      </w:r>
    </w:p>
    <w:p w14:paraId="177312FC" w14:textId="77777777" w:rsidR="00DE4E69" w:rsidRDefault="00DE4E69" w:rsidP="00DE4E69">
      <w:pPr>
        <w:pStyle w:val="NormalWeb"/>
        <w:shd w:val="clear" w:color="auto" w:fill="FFFFFF"/>
        <w:spacing w:before="0" w:beforeAutospacing="0" w:after="150" w:afterAutospacing="0"/>
        <w:jc w:val="both"/>
        <w:rPr>
          <w:rFonts w:ascii="Arial" w:hAnsi="Arial" w:cs="Arial"/>
          <w:color w:val="475055"/>
        </w:rPr>
      </w:pPr>
      <w:r>
        <w:rPr>
          <w:rStyle w:val="Strong"/>
          <w:rFonts w:ascii="Arial" w:hAnsi="Arial" w:cs="Arial"/>
          <w:color w:val="475055"/>
          <w:u w:val="single"/>
        </w:rPr>
        <w:t xml:space="preserve">3. This section starts with </w:t>
      </w:r>
      <w:proofErr w:type="gramStart"/>
      <w:r>
        <w:rPr>
          <w:rStyle w:val="Strong"/>
          <w:rFonts w:ascii="Arial" w:hAnsi="Arial" w:cs="Arial"/>
          <w:color w:val="475055"/>
          <w:u w:val="single"/>
        </w:rPr>
        <w:t>Non-obstante</w:t>
      </w:r>
      <w:proofErr w:type="gramEnd"/>
      <w:r>
        <w:rPr>
          <w:rStyle w:val="Strong"/>
          <w:rFonts w:ascii="Arial" w:hAnsi="Arial" w:cs="Arial"/>
          <w:color w:val="475055"/>
          <w:u w:val="single"/>
        </w:rPr>
        <w:t xml:space="preserve"> clause and accordingly has overriding effect over other provisions of the Act. </w:t>
      </w:r>
    </w:p>
    <w:p w14:paraId="1DE2EDE1" w14:textId="1970F5A5" w:rsidR="00DE4E69" w:rsidRDefault="00DE4E69"/>
    <w:p w14:paraId="0B15FA5D" w14:textId="357BED06" w:rsidR="00DE4E69" w:rsidRDefault="00DE4E69">
      <w:pPr>
        <w:rPr>
          <w:rStyle w:val="Strong"/>
          <w:rFonts w:ascii="Arial" w:hAnsi="Arial" w:cs="Arial"/>
          <w:color w:val="475055"/>
          <w:u w:val="single"/>
          <w:shd w:val="clear" w:color="auto" w:fill="FFFFFF"/>
        </w:rPr>
      </w:pPr>
      <w:r w:rsidRPr="00DE4E69">
        <w:rPr>
          <w:rStyle w:val="Strong"/>
          <w:rFonts w:ascii="Arial" w:hAnsi="Arial" w:cs="Arial"/>
          <w:color w:val="475055"/>
          <w:u w:val="single"/>
          <w:shd w:val="clear" w:color="auto" w:fill="FFFFFF"/>
        </w:rPr>
        <w:lastRenderedPageBreak/>
        <w:t>Section 206C (1H) – TCS on RECEIPT of SALE CONSIDERATION on Sale of GOODS from BUYER (</w:t>
      </w:r>
      <w:proofErr w:type="spellStart"/>
      <w:r w:rsidRPr="00DE4E69">
        <w:rPr>
          <w:rStyle w:val="Strong"/>
          <w:rFonts w:ascii="Arial" w:hAnsi="Arial" w:cs="Arial"/>
          <w:color w:val="475055"/>
          <w:u w:val="single"/>
          <w:shd w:val="clear" w:color="auto" w:fill="FFFFFF"/>
        </w:rPr>
        <w:t>w.e.f</w:t>
      </w:r>
      <w:proofErr w:type="spellEnd"/>
      <w:r w:rsidRPr="00DE4E69">
        <w:rPr>
          <w:rStyle w:val="Strong"/>
          <w:rFonts w:ascii="Arial" w:hAnsi="Arial" w:cs="Arial"/>
          <w:color w:val="475055"/>
          <w:u w:val="single"/>
          <w:shd w:val="clear" w:color="auto" w:fill="FFFFFF"/>
        </w:rPr>
        <w:t xml:space="preserve"> 01.10.2020)</w:t>
      </w:r>
    </w:p>
    <w:p w14:paraId="7EBEF8BA" w14:textId="77777777" w:rsidR="00DE4E69" w:rsidRDefault="00DE4E69" w:rsidP="00DE4E69">
      <w:pPr>
        <w:pStyle w:val="NormalWeb"/>
        <w:shd w:val="clear" w:color="auto" w:fill="FFFFFF"/>
        <w:spacing w:before="0" w:beforeAutospacing="0" w:after="150" w:afterAutospacing="0"/>
        <w:jc w:val="both"/>
        <w:rPr>
          <w:rFonts w:ascii="Arial" w:hAnsi="Arial" w:cs="Arial"/>
          <w:color w:val="475055"/>
        </w:rPr>
      </w:pPr>
      <w:r>
        <w:rPr>
          <w:rFonts w:ascii="Arial" w:hAnsi="Arial" w:cs="Arial"/>
          <w:color w:val="475055"/>
        </w:rPr>
        <w:t xml:space="preserve">1. Applicable on </w:t>
      </w:r>
      <w:r w:rsidRPr="00BA2835">
        <w:rPr>
          <w:rFonts w:ascii="Arial" w:hAnsi="Arial" w:cs="Arial"/>
          <w:b/>
          <w:bCs/>
          <w:color w:val="475055"/>
        </w:rPr>
        <w:t>SELLER</w:t>
      </w:r>
      <w:r>
        <w:rPr>
          <w:rFonts w:ascii="Arial" w:hAnsi="Arial" w:cs="Arial"/>
          <w:color w:val="475055"/>
        </w:rPr>
        <w:t xml:space="preserve"> </w:t>
      </w:r>
      <w:proofErr w:type="gramStart"/>
      <w:r>
        <w:rPr>
          <w:rFonts w:ascii="Arial" w:hAnsi="Arial" w:cs="Arial"/>
          <w:color w:val="475055"/>
        </w:rPr>
        <w:t>i.e.</w:t>
      </w:r>
      <w:proofErr w:type="gramEnd"/>
      <w:r>
        <w:rPr>
          <w:rFonts w:ascii="Arial" w:hAnsi="Arial" w:cs="Arial"/>
          <w:color w:val="475055"/>
        </w:rPr>
        <w:t xml:space="preserve"> person receiving payment of sales consideration</w:t>
      </w:r>
    </w:p>
    <w:p w14:paraId="7F58E70F" w14:textId="77777777" w:rsidR="00DE4E69" w:rsidRDefault="00DE4E69" w:rsidP="00DE4E69">
      <w:pPr>
        <w:pStyle w:val="NormalWeb"/>
        <w:shd w:val="clear" w:color="auto" w:fill="FFFFFF"/>
        <w:spacing w:before="0" w:beforeAutospacing="0" w:after="150" w:afterAutospacing="0"/>
        <w:jc w:val="both"/>
        <w:rPr>
          <w:rFonts w:ascii="Arial" w:hAnsi="Arial" w:cs="Arial"/>
          <w:color w:val="475055"/>
        </w:rPr>
      </w:pPr>
      <w:r>
        <w:rPr>
          <w:rFonts w:ascii="Arial" w:hAnsi="Arial" w:cs="Arial"/>
          <w:color w:val="475055"/>
        </w:rPr>
        <w:t>2</w:t>
      </w:r>
      <w:r w:rsidRPr="00BA2835">
        <w:rPr>
          <w:rFonts w:ascii="Arial" w:hAnsi="Arial" w:cs="Arial"/>
          <w:b/>
          <w:bCs/>
          <w:color w:val="475055"/>
        </w:rPr>
        <w:t>. On GOODS</w:t>
      </w:r>
      <w:r>
        <w:rPr>
          <w:rFonts w:ascii="Arial" w:hAnsi="Arial" w:cs="Arial"/>
          <w:color w:val="475055"/>
        </w:rPr>
        <w:t xml:space="preserve"> sold – not on services</w:t>
      </w:r>
    </w:p>
    <w:p w14:paraId="10A53572" w14:textId="77777777" w:rsidR="00DE4E69" w:rsidRDefault="00DE4E69" w:rsidP="00DE4E69">
      <w:pPr>
        <w:pStyle w:val="NormalWeb"/>
        <w:shd w:val="clear" w:color="auto" w:fill="FFFFFF"/>
        <w:spacing w:before="0" w:beforeAutospacing="0" w:after="150" w:afterAutospacing="0"/>
        <w:jc w:val="both"/>
        <w:rPr>
          <w:rFonts w:ascii="Arial" w:hAnsi="Arial" w:cs="Arial"/>
          <w:color w:val="475055"/>
        </w:rPr>
      </w:pPr>
      <w:r>
        <w:rPr>
          <w:rFonts w:ascii="Arial" w:hAnsi="Arial" w:cs="Arial"/>
          <w:color w:val="475055"/>
        </w:rPr>
        <w:t xml:space="preserve">3. </w:t>
      </w:r>
      <w:r w:rsidRPr="00BA2835">
        <w:rPr>
          <w:rFonts w:ascii="Arial" w:hAnsi="Arial" w:cs="Arial"/>
          <w:b/>
          <w:bCs/>
          <w:color w:val="475055"/>
        </w:rPr>
        <w:t>BUYER is RESIDENT</w:t>
      </w:r>
      <w:r>
        <w:rPr>
          <w:rFonts w:ascii="Arial" w:hAnsi="Arial" w:cs="Arial"/>
          <w:color w:val="475055"/>
        </w:rPr>
        <w:t xml:space="preserve"> </w:t>
      </w:r>
      <w:proofErr w:type="gramStart"/>
      <w:r>
        <w:rPr>
          <w:rFonts w:ascii="Arial" w:hAnsi="Arial" w:cs="Arial"/>
          <w:color w:val="475055"/>
        </w:rPr>
        <w:t>i.e.</w:t>
      </w:r>
      <w:proofErr w:type="gramEnd"/>
      <w:r>
        <w:rPr>
          <w:rFonts w:ascii="Arial" w:hAnsi="Arial" w:cs="Arial"/>
          <w:color w:val="475055"/>
        </w:rPr>
        <w:t xml:space="preserve"> not applicable to </w:t>
      </w:r>
      <w:r w:rsidRPr="00BA2835">
        <w:rPr>
          <w:rFonts w:ascii="Arial" w:hAnsi="Arial" w:cs="Arial"/>
          <w:b/>
          <w:bCs/>
          <w:color w:val="475055"/>
        </w:rPr>
        <w:t>EXPORT OF GOODS</w:t>
      </w:r>
      <w:r>
        <w:rPr>
          <w:rFonts w:ascii="Arial" w:hAnsi="Arial" w:cs="Arial"/>
          <w:color w:val="475055"/>
        </w:rPr>
        <w:t>.</w:t>
      </w:r>
    </w:p>
    <w:p w14:paraId="2D0007CB" w14:textId="77777777" w:rsidR="00DE4E69" w:rsidRDefault="00DE4E69" w:rsidP="00DE4E69">
      <w:pPr>
        <w:pStyle w:val="NormalWeb"/>
        <w:shd w:val="clear" w:color="auto" w:fill="FFFFFF"/>
        <w:spacing w:before="0" w:beforeAutospacing="0" w:after="150" w:afterAutospacing="0"/>
        <w:jc w:val="both"/>
        <w:rPr>
          <w:rFonts w:ascii="Arial" w:hAnsi="Arial" w:cs="Arial"/>
          <w:color w:val="475055"/>
        </w:rPr>
      </w:pPr>
      <w:r>
        <w:rPr>
          <w:rFonts w:ascii="Arial" w:hAnsi="Arial" w:cs="Arial"/>
          <w:color w:val="475055"/>
        </w:rPr>
        <w:t xml:space="preserve">4. SELLER has </w:t>
      </w:r>
      <w:r w:rsidRPr="00BA2835">
        <w:rPr>
          <w:rFonts w:ascii="Arial" w:hAnsi="Arial" w:cs="Arial"/>
          <w:b/>
          <w:bCs/>
          <w:color w:val="475055"/>
        </w:rPr>
        <w:t>TURNOVER</w:t>
      </w:r>
      <w:r>
        <w:rPr>
          <w:rFonts w:ascii="Arial" w:hAnsi="Arial" w:cs="Arial"/>
          <w:color w:val="475055"/>
        </w:rPr>
        <w:t xml:space="preserve"> from the business EXCEEDING </w:t>
      </w:r>
      <w:r w:rsidRPr="00BA2835">
        <w:rPr>
          <w:rFonts w:ascii="Arial" w:hAnsi="Arial" w:cs="Arial"/>
          <w:b/>
          <w:bCs/>
          <w:color w:val="475055"/>
        </w:rPr>
        <w:t>Rs.10 CRORES</w:t>
      </w:r>
      <w:r>
        <w:rPr>
          <w:rFonts w:ascii="Arial" w:hAnsi="Arial" w:cs="Arial"/>
          <w:color w:val="475055"/>
        </w:rPr>
        <w:t xml:space="preserve"> in the preceding financial year.</w:t>
      </w:r>
    </w:p>
    <w:p w14:paraId="7537C51E" w14:textId="77777777" w:rsidR="00DE4E69" w:rsidRDefault="00DE4E69" w:rsidP="00DE4E69">
      <w:pPr>
        <w:pStyle w:val="NormalWeb"/>
        <w:shd w:val="clear" w:color="auto" w:fill="FFFFFF"/>
        <w:spacing w:before="0" w:beforeAutospacing="0" w:after="150" w:afterAutospacing="0"/>
        <w:jc w:val="both"/>
        <w:rPr>
          <w:rFonts w:ascii="Arial" w:hAnsi="Arial" w:cs="Arial"/>
          <w:color w:val="475055"/>
        </w:rPr>
      </w:pPr>
      <w:r>
        <w:rPr>
          <w:rFonts w:ascii="Arial" w:hAnsi="Arial" w:cs="Arial"/>
          <w:color w:val="475055"/>
        </w:rPr>
        <w:t xml:space="preserve">5. </w:t>
      </w:r>
      <w:r w:rsidRPr="00BA2835">
        <w:rPr>
          <w:rFonts w:ascii="Arial" w:hAnsi="Arial" w:cs="Arial"/>
          <w:b/>
          <w:bCs/>
          <w:color w:val="475055"/>
        </w:rPr>
        <w:t>RECEIPTS</w:t>
      </w:r>
      <w:r>
        <w:rPr>
          <w:rFonts w:ascii="Arial" w:hAnsi="Arial" w:cs="Arial"/>
          <w:color w:val="475055"/>
        </w:rPr>
        <w:t xml:space="preserve"> during the financial year </w:t>
      </w:r>
      <w:r w:rsidRPr="00BA2835">
        <w:rPr>
          <w:rFonts w:ascii="Arial" w:hAnsi="Arial" w:cs="Arial"/>
          <w:b/>
          <w:bCs/>
          <w:color w:val="475055"/>
        </w:rPr>
        <w:t>EXCEEDS Rs.50 LAKHS</w:t>
      </w:r>
      <w:r>
        <w:rPr>
          <w:rFonts w:ascii="Arial" w:hAnsi="Arial" w:cs="Arial"/>
          <w:color w:val="475055"/>
        </w:rPr>
        <w:t>.</w:t>
      </w:r>
    </w:p>
    <w:p w14:paraId="77920FF3" w14:textId="77777777" w:rsidR="00DE4E69" w:rsidRDefault="00DE4E69" w:rsidP="00DE4E69">
      <w:pPr>
        <w:pStyle w:val="NormalWeb"/>
        <w:shd w:val="clear" w:color="auto" w:fill="FFFFFF"/>
        <w:spacing w:before="0" w:beforeAutospacing="0" w:after="150" w:afterAutospacing="0"/>
        <w:jc w:val="both"/>
        <w:rPr>
          <w:rFonts w:ascii="Arial" w:hAnsi="Arial" w:cs="Arial"/>
          <w:color w:val="475055"/>
        </w:rPr>
      </w:pPr>
      <w:r>
        <w:rPr>
          <w:rFonts w:ascii="Arial" w:hAnsi="Arial" w:cs="Arial"/>
          <w:color w:val="475055"/>
        </w:rPr>
        <w:t xml:space="preserve">6. </w:t>
      </w:r>
      <w:r w:rsidRPr="00BA2835">
        <w:rPr>
          <w:rFonts w:ascii="Arial" w:hAnsi="Arial" w:cs="Arial"/>
          <w:b/>
          <w:bCs/>
          <w:color w:val="475055"/>
        </w:rPr>
        <w:t>TCS @ 0.10%</w:t>
      </w:r>
      <w:r>
        <w:rPr>
          <w:rFonts w:ascii="Arial" w:hAnsi="Arial" w:cs="Arial"/>
          <w:color w:val="475055"/>
        </w:rPr>
        <w:t xml:space="preserve"> on RECEIPTS EXCEEDING Rs.50 LAKHS INCLUDING GST.</w:t>
      </w:r>
    </w:p>
    <w:p w14:paraId="397AC774" w14:textId="226B9F70" w:rsidR="00DE4E69" w:rsidRDefault="00DE4E69" w:rsidP="00DE4E69">
      <w:pPr>
        <w:pStyle w:val="NormalWeb"/>
        <w:shd w:val="clear" w:color="auto" w:fill="FFFFFF"/>
        <w:spacing w:before="0" w:beforeAutospacing="0" w:after="150" w:afterAutospacing="0"/>
        <w:jc w:val="both"/>
        <w:rPr>
          <w:rFonts w:ascii="Arial" w:hAnsi="Arial" w:cs="Arial"/>
          <w:color w:val="475055"/>
        </w:rPr>
      </w:pPr>
      <w:r>
        <w:rPr>
          <w:rFonts w:ascii="Arial" w:hAnsi="Arial" w:cs="Arial"/>
          <w:color w:val="475055"/>
        </w:rPr>
        <w:t>7. IF PAN or </w:t>
      </w:r>
      <w:r>
        <w:rPr>
          <w:rStyle w:val="Emphasis"/>
          <w:rFonts w:ascii="Arial" w:hAnsi="Arial" w:cs="Arial"/>
          <w:color w:val="475055"/>
          <w:u w:val="single"/>
        </w:rPr>
        <w:t>AADHAR</w:t>
      </w:r>
      <w:r w:rsidR="00BA2835">
        <w:rPr>
          <w:rStyle w:val="Emphasis"/>
          <w:rFonts w:ascii="Arial" w:hAnsi="Arial" w:cs="Arial"/>
          <w:color w:val="475055"/>
          <w:u w:val="single"/>
        </w:rPr>
        <w:t xml:space="preserve"> </w:t>
      </w:r>
      <w:r>
        <w:rPr>
          <w:rFonts w:ascii="Arial" w:hAnsi="Arial" w:cs="Arial"/>
          <w:color w:val="475055"/>
        </w:rPr>
        <w:t xml:space="preserve">NOT PROVIDED by BUYER but FILED INCOME TAX RETURNS in the past </w:t>
      </w:r>
      <w:proofErr w:type="gramStart"/>
      <w:r>
        <w:rPr>
          <w:rFonts w:ascii="Arial" w:hAnsi="Arial" w:cs="Arial"/>
          <w:color w:val="475055"/>
        </w:rPr>
        <w:t>–  HIGHER</w:t>
      </w:r>
      <w:proofErr w:type="gramEnd"/>
      <w:r>
        <w:rPr>
          <w:rFonts w:ascii="Arial" w:hAnsi="Arial" w:cs="Arial"/>
          <w:color w:val="475055"/>
        </w:rPr>
        <w:t xml:space="preserve"> of – Twice the specified rate (Twice of 0.10 %, i.e. 0.20%) or 1% </w:t>
      </w:r>
      <w:r>
        <w:rPr>
          <w:rStyle w:val="Emphasis"/>
          <w:rFonts w:ascii="Arial" w:hAnsi="Arial" w:cs="Arial"/>
          <w:color w:val="475055"/>
        </w:rPr>
        <w:t>[1st Proviso to Section 206C(1H) read with Section 206CC(1)(ii)]</w:t>
      </w:r>
    </w:p>
    <w:p w14:paraId="36426F74" w14:textId="15D03EDE" w:rsidR="00DE4E69" w:rsidRDefault="00DE4E69" w:rsidP="00DE4E69">
      <w:pPr>
        <w:pStyle w:val="NormalWeb"/>
        <w:shd w:val="clear" w:color="auto" w:fill="FFFFFF"/>
        <w:spacing w:before="0" w:beforeAutospacing="0" w:after="150" w:afterAutospacing="0"/>
        <w:jc w:val="both"/>
        <w:rPr>
          <w:rFonts w:ascii="Arial" w:hAnsi="Arial" w:cs="Arial"/>
          <w:color w:val="475055"/>
        </w:rPr>
      </w:pPr>
      <w:r>
        <w:rPr>
          <w:rFonts w:ascii="Arial" w:hAnsi="Arial" w:cs="Arial"/>
          <w:color w:val="475055"/>
        </w:rPr>
        <w:t>8. If PAN or </w:t>
      </w:r>
      <w:r>
        <w:rPr>
          <w:rStyle w:val="Emphasis"/>
          <w:rFonts w:ascii="Arial" w:hAnsi="Arial" w:cs="Arial"/>
          <w:color w:val="475055"/>
          <w:u w:val="single"/>
        </w:rPr>
        <w:t>AADHAR</w:t>
      </w:r>
      <w:r w:rsidR="00BA2835">
        <w:rPr>
          <w:rStyle w:val="Emphasis"/>
          <w:rFonts w:ascii="Arial" w:hAnsi="Arial" w:cs="Arial"/>
          <w:color w:val="475055"/>
          <w:u w:val="single"/>
        </w:rPr>
        <w:t xml:space="preserve"> </w:t>
      </w:r>
      <w:r>
        <w:rPr>
          <w:rFonts w:ascii="Arial" w:hAnsi="Arial" w:cs="Arial"/>
          <w:color w:val="475055"/>
        </w:rPr>
        <w:t xml:space="preserve">NOT PROVIDED by buyer and also NOT FILED INCOME TAX RETURNS </w:t>
      </w:r>
      <w:proofErr w:type="gramStart"/>
      <w:r>
        <w:rPr>
          <w:rFonts w:ascii="Arial" w:hAnsi="Arial" w:cs="Arial"/>
          <w:color w:val="475055"/>
        </w:rPr>
        <w:t>then  (</w:t>
      </w:r>
      <w:proofErr w:type="gramEnd"/>
      <w:r>
        <w:rPr>
          <w:rFonts w:ascii="Arial" w:hAnsi="Arial" w:cs="Arial"/>
          <w:color w:val="475055"/>
        </w:rPr>
        <w:t>1) UNDER SECTION 206C(IH) :</w:t>
      </w:r>
    </w:p>
    <w:p w14:paraId="64280AEC" w14:textId="77777777" w:rsidR="00DE4E69" w:rsidRDefault="00DE4E69" w:rsidP="00DE4E69">
      <w:pPr>
        <w:pStyle w:val="NormalWeb"/>
        <w:shd w:val="clear" w:color="auto" w:fill="FFFFFF"/>
        <w:spacing w:before="0" w:beforeAutospacing="0" w:after="150" w:afterAutospacing="0"/>
        <w:jc w:val="both"/>
        <w:rPr>
          <w:rFonts w:ascii="Arial" w:hAnsi="Arial" w:cs="Arial"/>
          <w:color w:val="475055"/>
        </w:rPr>
      </w:pPr>
      <w:r>
        <w:rPr>
          <w:rFonts w:ascii="Arial" w:hAnsi="Arial" w:cs="Arial"/>
          <w:color w:val="475055"/>
        </w:rPr>
        <w:t>Hi</w:t>
      </w:r>
      <w:r>
        <w:rPr>
          <w:rStyle w:val="Strong"/>
          <w:rFonts w:ascii="Arial" w:hAnsi="Arial" w:cs="Arial"/>
          <w:color w:val="475055"/>
        </w:rPr>
        <w:t>gher of –</w:t>
      </w:r>
    </w:p>
    <w:p w14:paraId="6F37EBDA" w14:textId="77777777" w:rsidR="00DE4E69" w:rsidRDefault="00DE4E69" w:rsidP="00DE4E69">
      <w:pPr>
        <w:pStyle w:val="NormalWeb"/>
        <w:shd w:val="clear" w:color="auto" w:fill="FFFFFF"/>
        <w:spacing w:before="0" w:beforeAutospacing="0" w:after="150" w:afterAutospacing="0"/>
        <w:jc w:val="both"/>
        <w:rPr>
          <w:rFonts w:ascii="Arial" w:hAnsi="Arial" w:cs="Arial"/>
          <w:color w:val="475055"/>
        </w:rPr>
      </w:pPr>
      <w:r>
        <w:rPr>
          <w:rStyle w:val="Strong"/>
          <w:rFonts w:ascii="Arial" w:hAnsi="Arial" w:cs="Arial"/>
          <w:color w:val="475055"/>
        </w:rPr>
        <w:t>(I) Twice of Rate specified (Twice of 0.10%) and 1 % – as per First Proviso to Section 206</w:t>
      </w:r>
      <w:proofErr w:type="gramStart"/>
      <w:r>
        <w:rPr>
          <w:rStyle w:val="Strong"/>
          <w:rFonts w:ascii="Arial" w:hAnsi="Arial" w:cs="Arial"/>
          <w:color w:val="475055"/>
        </w:rPr>
        <w:t>C(</w:t>
      </w:r>
      <w:proofErr w:type="gramEnd"/>
      <w:r>
        <w:rPr>
          <w:rStyle w:val="Strong"/>
          <w:rFonts w:ascii="Arial" w:hAnsi="Arial" w:cs="Arial"/>
          <w:color w:val="475055"/>
        </w:rPr>
        <w:t>IH ) read with section 206CC(1)(ii)];</w:t>
      </w:r>
    </w:p>
    <w:p w14:paraId="4F600E85" w14:textId="77777777" w:rsidR="00DE4E69" w:rsidRDefault="00DE4E69" w:rsidP="00DE4E69">
      <w:pPr>
        <w:pStyle w:val="NormalWeb"/>
        <w:shd w:val="clear" w:color="auto" w:fill="FFFFFF"/>
        <w:spacing w:before="0" w:beforeAutospacing="0" w:after="150" w:afterAutospacing="0"/>
        <w:jc w:val="both"/>
        <w:rPr>
          <w:rFonts w:ascii="Arial" w:hAnsi="Arial" w:cs="Arial"/>
          <w:color w:val="475055"/>
        </w:rPr>
      </w:pPr>
      <w:r>
        <w:rPr>
          <w:rStyle w:val="Strong"/>
          <w:rFonts w:ascii="Arial" w:hAnsi="Arial" w:cs="Arial"/>
          <w:color w:val="475055"/>
        </w:rPr>
        <w:t>         AND</w:t>
      </w:r>
    </w:p>
    <w:p w14:paraId="3319D5C4" w14:textId="77777777" w:rsidR="00DE4E69" w:rsidRDefault="00DE4E69" w:rsidP="00DE4E69">
      <w:pPr>
        <w:pStyle w:val="NormalWeb"/>
        <w:shd w:val="clear" w:color="auto" w:fill="FFFFFF"/>
        <w:spacing w:before="0" w:beforeAutospacing="0" w:after="150" w:afterAutospacing="0"/>
        <w:jc w:val="both"/>
        <w:rPr>
          <w:rFonts w:ascii="Arial" w:hAnsi="Arial" w:cs="Arial"/>
          <w:color w:val="475055"/>
        </w:rPr>
      </w:pPr>
      <w:r>
        <w:rPr>
          <w:rStyle w:val="Strong"/>
          <w:rFonts w:ascii="Arial" w:hAnsi="Arial" w:cs="Arial"/>
          <w:color w:val="475055"/>
        </w:rPr>
        <w:t>        (II) Higher of – Twice the rate specified (Twice of 0.10%) or 5%)] – u/s 206</w:t>
      </w:r>
      <w:proofErr w:type="gramStart"/>
      <w:r>
        <w:rPr>
          <w:rStyle w:val="Strong"/>
          <w:rFonts w:ascii="Arial" w:hAnsi="Arial" w:cs="Arial"/>
          <w:color w:val="475055"/>
        </w:rPr>
        <w:t>CCA(</w:t>
      </w:r>
      <w:proofErr w:type="gramEnd"/>
      <w:r>
        <w:rPr>
          <w:rStyle w:val="Strong"/>
          <w:rFonts w:ascii="Arial" w:hAnsi="Arial" w:cs="Arial"/>
          <w:color w:val="475055"/>
        </w:rPr>
        <w:t>2) </w:t>
      </w:r>
    </w:p>
    <w:p w14:paraId="012A84B1" w14:textId="77777777" w:rsidR="00DE4E69" w:rsidRDefault="00DE4E69" w:rsidP="00DE4E69">
      <w:pPr>
        <w:pStyle w:val="NormalWeb"/>
        <w:shd w:val="clear" w:color="auto" w:fill="FFFFFF"/>
        <w:spacing w:before="0" w:beforeAutospacing="0" w:after="150" w:afterAutospacing="0"/>
        <w:jc w:val="both"/>
        <w:rPr>
          <w:rFonts w:ascii="Arial" w:hAnsi="Arial" w:cs="Arial"/>
          <w:color w:val="475055"/>
        </w:rPr>
      </w:pPr>
      <w:r>
        <w:rPr>
          <w:rStyle w:val="Emphasis"/>
          <w:rFonts w:ascii="Arial" w:hAnsi="Arial" w:cs="Arial"/>
          <w:color w:val="475055"/>
        </w:rPr>
        <w:t> </w:t>
      </w:r>
      <w:r>
        <w:rPr>
          <w:rStyle w:val="Emphasis"/>
          <w:rFonts w:ascii="Arial" w:hAnsi="Arial" w:cs="Arial"/>
          <w:color w:val="475055"/>
          <w:u w:val="single"/>
        </w:rPr>
        <w:t>i.e. higher rate is 5% under first proviso to section 206C(IH) read with Section 206CC (1)(ii</w:t>
      </w:r>
      <w:proofErr w:type="gramStart"/>
      <w:r>
        <w:rPr>
          <w:rStyle w:val="Emphasis"/>
          <w:rFonts w:ascii="Arial" w:hAnsi="Arial" w:cs="Arial"/>
          <w:color w:val="475055"/>
          <w:u w:val="single"/>
        </w:rPr>
        <w:t>)  and</w:t>
      </w:r>
      <w:proofErr w:type="gramEnd"/>
      <w:r>
        <w:rPr>
          <w:rStyle w:val="Emphasis"/>
          <w:rFonts w:ascii="Arial" w:hAnsi="Arial" w:cs="Arial"/>
          <w:color w:val="475055"/>
          <w:u w:val="single"/>
        </w:rPr>
        <w:t xml:space="preserve"> Section 206CCA(2) for non-filers who are not submitting PAN [or Aadhar u/s 206C(IH)]</w:t>
      </w:r>
      <w:r>
        <w:rPr>
          <w:rFonts w:ascii="Arial" w:hAnsi="Arial" w:cs="Arial"/>
          <w:color w:val="475055"/>
        </w:rPr>
        <w:t>.</w:t>
      </w:r>
    </w:p>
    <w:p w14:paraId="6E40E049" w14:textId="4107C063" w:rsidR="00DE4E69" w:rsidRDefault="00DE4E69">
      <w:pPr>
        <w:rPr>
          <w:u w:val="single"/>
        </w:rPr>
      </w:pPr>
    </w:p>
    <w:p w14:paraId="63DF729F" w14:textId="77777777" w:rsidR="00DE4E69" w:rsidRDefault="00DE4E69" w:rsidP="00DE4E69">
      <w:pPr>
        <w:pStyle w:val="NormalWeb"/>
        <w:shd w:val="clear" w:color="auto" w:fill="FFFFFF"/>
        <w:spacing w:before="0" w:beforeAutospacing="0" w:after="150" w:afterAutospacing="0"/>
        <w:jc w:val="both"/>
        <w:rPr>
          <w:rFonts w:ascii="Arial" w:hAnsi="Arial" w:cs="Arial"/>
          <w:color w:val="475055"/>
        </w:rPr>
      </w:pPr>
      <w:r>
        <w:rPr>
          <w:rStyle w:val="Strong"/>
          <w:rFonts w:ascii="Arial" w:hAnsi="Arial" w:cs="Arial"/>
          <w:color w:val="475055"/>
          <w:u w:val="single"/>
        </w:rPr>
        <w:t>NOTES</w:t>
      </w:r>
      <w:r>
        <w:rPr>
          <w:rStyle w:val="Strong"/>
          <w:rFonts w:ascii="Arial" w:hAnsi="Arial" w:cs="Arial"/>
          <w:color w:val="475055"/>
        </w:rPr>
        <w:t>:</w:t>
      </w:r>
    </w:p>
    <w:p w14:paraId="0E3D253E" w14:textId="77777777" w:rsidR="00DE4E69" w:rsidRDefault="00DE4E69" w:rsidP="00DE4E69">
      <w:pPr>
        <w:pStyle w:val="NormalWeb"/>
        <w:shd w:val="clear" w:color="auto" w:fill="FFFFFF"/>
        <w:spacing w:before="0" w:beforeAutospacing="0" w:after="150" w:afterAutospacing="0"/>
        <w:jc w:val="both"/>
        <w:rPr>
          <w:rFonts w:ascii="Arial" w:hAnsi="Arial" w:cs="Arial"/>
          <w:color w:val="475055"/>
        </w:rPr>
      </w:pPr>
      <w:r>
        <w:rPr>
          <w:rFonts w:ascii="Arial" w:hAnsi="Arial" w:cs="Arial"/>
          <w:color w:val="475055"/>
        </w:rPr>
        <w:t>1. Where the buyer fails to deduct and deposit TDS, purchase expenditure (on which TDS is not deducted and deposited) to the extent of 30% will be disallowed u/s 40(a)(</w:t>
      </w:r>
      <w:proofErr w:type="spellStart"/>
      <w:r>
        <w:rPr>
          <w:rFonts w:ascii="Arial" w:hAnsi="Arial" w:cs="Arial"/>
          <w:color w:val="475055"/>
        </w:rPr>
        <w:t>ia</w:t>
      </w:r>
      <w:proofErr w:type="spellEnd"/>
      <w:r>
        <w:rPr>
          <w:rFonts w:ascii="Arial" w:hAnsi="Arial" w:cs="Arial"/>
          <w:color w:val="475055"/>
        </w:rPr>
        <w:t xml:space="preserve">) of the </w:t>
      </w:r>
      <w:proofErr w:type="gramStart"/>
      <w:r>
        <w:rPr>
          <w:rFonts w:ascii="Arial" w:hAnsi="Arial" w:cs="Arial"/>
          <w:color w:val="475055"/>
        </w:rPr>
        <w:t>Act ;</w:t>
      </w:r>
      <w:proofErr w:type="gramEnd"/>
    </w:p>
    <w:p w14:paraId="5ACA6914" w14:textId="77777777" w:rsidR="00DE4E69" w:rsidRDefault="00DE4E69" w:rsidP="00DE4E69">
      <w:pPr>
        <w:pStyle w:val="NormalWeb"/>
        <w:shd w:val="clear" w:color="auto" w:fill="FFFFFF"/>
        <w:spacing w:before="0" w:beforeAutospacing="0" w:after="150" w:afterAutospacing="0"/>
        <w:jc w:val="both"/>
        <w:rPr>
          <w:rFonts w:ascii="Arial" w:hAnsi="Arial" w:cs="Arial"/>
          <w:color w:val="475055"/>
        </w:rPr>
      </w:pPr>
      <w:r>
        <w:rPr>
          <w:rFonts w:ascii="Arial" w:hAnsi="Arial" w:cs="Arial"/>
          <w:color w:val="475055"/>
        </w:rPr>
        <w:t>2. Section 206AB is applicable to all the TDS sections like Section 194 (Dividends), 194A (Interest), 194C (Payments to contractors/ subcontractors), 194H (Commission), 194-I (Rent), 194 J (Professional fees), 194IA (Purchase/ Sales consideration of Immovable Property), etc., </w:t>
      </w:r>
      <w:r>
        <w:rPr>
          <w:rStyle w:val="Emphasis"/>
          <w:rFonts w:ascii="Arial" w:hAnsi="Arial" w:cs="Arial"/>
          <w:color w:val="475055"/>
          <w:u w:val="single"/>
        </w:rPr>
        <w:t>except</w:t>
      </w:r>
      <w:r>
        <w:rPr>
          <w:rFonts w:ascii="Arial" w:hAnsi="Arial" w:cs="Arial"/>
          <w:color w:val="475055"/>
        </w:rPr>
        <w:t> Sections192, 192A, 194B, 194BB, 194LBC and 194N.</w:t>
      </w:r>
    </w:p>
    <w:p w14:paraId="222E0EE4" w14:textId="77777777" w:rsidR="00DE4E69" w:rsidRDefault="00DE4E69" w:rsidP="00DE4E69">
      <w:pPr>
        <w:pStyle w:val="NormalWeb"/>
        <w:shd w:val="clear" w:color="auto" w:fill="FFFFFF"/>
        <w:spacing w:before="0" w:beforeAutospacing="0" w:after="150" w:afterAutospacing="0"/>
        <w:jc w:val="both"/>
        <w:rPr>
          <w:rFonts w:ascii="Arial" w:hAnsi="Arial" w:cs="Arial"/>
          <w:color w:val="475055"/>
        </w:rPr>
      </w:pPr>
      <w:r>
        <w:rPr>
          <w:rStyle w:val="Emphasis"/>
          <w:rFonts w:ascii="Arial" w:hAnsi="Arial" w:cs="Arial"/>
          <w:color w:val="475055"/>
          <w:u w:val="single"/>
        </w:rPr>
        <w:t>3. CBDT has vide its</w:t>
      </w:r>
      <w:r>
        <w:rPr>
          <w:rStyle w:val="Strong"/>
          <w:rFonts w:ascii="Arial" w:hAnsi="Arial" w:cs="Arial"/>
          <w:i/>
          <w:iCs/>
          <w:color w:val="475055"/>
          <w:u w:val="single"/>
        </w:rPr>
        <w:t> </w:t>
      </w:r>
      <w:hyperlink r:id="rId8" w:tgtFrame="_blank" w:tooltip="Circular No. 11/2021-Income Tax" w:history="1">
        <w:r>
          <w:rPr>
            <w:rStyle w:val="Hyperlink"/>
            <w:rFonts w:ascii="Arial" w:hAnsi="Arial" w:cs="Arial"/>
            <w:b/>
            <w:bCs/>
            <w:i/>
            <w:iCs/>
            <w:color w:val="337AB7"/>
          </w:rPr>
          <w:t>Circular No. 11/2021 dated 21.6.2021</w:t>
        </w:r>
      </w:hyperlink>
      <w:r>
        <w:rPr>
          <w:rStyle w:val="Emphasis"/>
          <w:rFonts w:ascii="Arial" w:hAnsi="Arial" w:cs="Arial"/>
          <w:color w:val="475055"/>
          <w:u w:val="single"/>
        </w:rPr>
        <w:t> (F. No. 3701331712021-TPL)</w:t>
      </w:r>
      <w:r>
        <w:rPr>
          <w:rFonts w:ascii="Arial" w:hAnsi="Arial" w:cs="Arial"/>
          <w:color w:val="475055"/>
        </w:rPr>
        <w:t> clarified that for the purposes of Section 206AB and Section 206CCA, </w:t>
      </w:r>
      <w:r>
        <w:rPr>
          <w:rFonts w:ascii="Arial" w:hAnsi="Arial" w:cs="Arial"/>
          <w:color w:val="475055"/>
          <w:u w:val="single"/>
        </w:rPr>
        <w:t>LIST AS AT THE BEGINNING</w:t>
      </w:r>
      <w:r>
        <w:rPr>
          <w:rFonts w:ascii="Arial" w:hAnsi="Arial" w:cs="Arial"/>
          <w:color w:val="475055"/>
        </w:rPr>
        <w:t> of financial year 2021-22 needs to be checked from Income Tax Portal (“Compliance Check for Sections 206AB &amp; 206CCA”) as regards ‘specified persons’ to which no new name shall be inserted in financial year 2021-22; Only deletion of names of assesses who have filed Income Tax Returns (including Belated and revised TCS &amp; TDS returns) shall be done.</w:t>
      </w:r>
    </w:p>
    <w:sectPr w:rsidR="00DE4E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AF1"/>
    <w:rsid w:val="003B158E"/>
    <w:rsid w:val="00446A31"/>
    <w:rsid w:val="00527AF1"/>
    <w:rsid w:val="00552A0C"/>
    <w:rsid w:val="007B231B"/>
    <w:rsid w:val="00A92BCC"/>
    <w:rsid w:val="00BA2835"/>
    <w:rsid w:val="00C27520"/>
    <w:rsid w:val="00DE4E69"/>
    <w:rsid w:val="00EF2FE9"/>
    <w:rsid w:val="00F60D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33838"/>
  <w15:chartTrackingRefBased/>
  <w15:docId w15:val="{63B7045C-7EF6-4075-B86F-85C3B4E30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E4E69"/>
    <w:rPr>
      <w:b/>
      <w:bCs/>
    </w:rPr>
  </w:style>
  <w:style w:type="character" w:styleId="Hyperlink">
    <w:name w:val="Hyperlink"/>
    <w:basedOn w:val="DefaultParagraphFont"/>
    <w:uiPriority w:val="99"/>
    <w:semiHidden/>
    <w:unhideWhenUsed/>
    <w:rsid w:val="00DE4E69"/>
    <w:rPr>
      <w:color w:val="0000FF"/>
      <w:u w:val="single"/>
    </w:rPr>
  </w:style>
  <w:style w:type="paragraph" w:styleId="NormalWeb">
    <w:name w:val="Normal (Web)"/>
    <w:basedOn w:val="Normal"/>
    <w:uiPriority w:val="99"/>
    <w:semiHidden/>
    <w:unhideWhenUsed/>
    <w:rsid w:val="00DE4E6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DE4E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2414">
      <w:bodyDiv w:val="1"/>
      <w:marLeft w:val="0"/>
      <w:marRight w:val="0"/>
      <w:marTop w:val="0"/>
      <w:marBottom w:val="0"/>
      <w:divBdr>
        <w:top w:val="none" w:sz="0" w:space="0" w:color="auto"/>
        <w:left w:val="none" w:sz="0" w:space="0" w:color="auto"/>
        <w:bottom w:val="none" w:sz="0" w:space="0" w:color="auto"/>
        <w:right w:val="none" w:sz="0" w:space="0" w:color="auto"/>
      </w:divBdr>
    </w:div>
    <w:div w:id="263853130">
      <w:bodyDiv w:val="1"/>
      <w:marLeft w:val="0"/>
      <w:marRight w:val="0"/>
      <w:marTop w:val="0"/>
      <w:marBottom w:val="0"/>
      <w:divBdr>
        <w:top w:val="none" w:sz="0" w:space="0" w:color="auto"/>
        <w:left w:val="none" w:sz="0" w:space="0" w:color="auto"/>
        <w:bottom w:val="none" w:sz="0" w:space="0" w:color="auto"/>
        <w:right w:val="none" w:sz="0" w:space="0" w:color="auto"/>
      </w:divBdr>
    </w:div>
    <w:div w:id="550918340">
      <w:bodyDiv w:val="1"/>
      <w:marLeft w:val="0"/>
      <w:marRight w:val="0"/>
      <w:marTop w:val="0"/>
      <w:marBottom w:val="0"/>
      <w:divBdr>
        <w:top w:val="none" w:sz="0" w:space="0" w:color="auto"/>
        <w:left w:val="none" w:sz="0" w:space="0" w:color="auto"/>
        <w:bottom w:val="none" w:sz="0" w:space="0" w:color="auto"/>
        <w:right w:val="none" w:sz="0" w:space="0" w:color="auto"/>
      </w:divBdr>
    </w:div>
    <w:div w:id="592587336">
      <w:bodyDiv w:val="1"/>
      <w:marLeft w:val="0"/>
      <w:marRight w:val="0"/>
      <w:marTop w:val="0"/>
      <w:marBottom w:val="0"/>
      <w:divBdr>
        <w:top w:val="none" w:sz="0" w:space="0" w:color="auto"/>
        <w:left w:val="none" w:sz="0" w:space="0" w:color="auto"/>
        <w:bottom w:val="none" w:sz="0" w:space="0" w:color="auto"/>
        <w:right w:val="none" w:sz="0" w:space="0" w:color="auto"/>
      </w:divBdr>
    </w:div>
    <w:div w:id="609091794">
      <w:bodyDiv w:val="1"/>
      <w:marLeft w:val="0"/>
      <w:marRight w:val="0"/>
      <w:marTop w:val="0"/>
      <w:marBottom w:val="0"/>
      <w:divBdr>
        <w:top w:val="none" w:sz="0" w:space="0" w:color="auto"/>
        <w:left w:val="none" w:sz="0" w:space="0" w:color="auto"/>
        <w:bottom w:val="none" w:sz="0" w:space="0" w:color="auto"/>
        <w:right w:val="none" w:sz="0" w:space="0" w:color="auto"/>
      </w:divBdr>
    </w:div>
    <w:div w:id="627930204">
      <w:bodyDiv w:val="1"/>
      <w:marLeft w:val="0"/>
      <w:marRight w:val="0"/>
      <w:marTop w:val="0"/>
      <w:marBottom w:val="0"/>
      <w:divBdr>
        <w:top w:val="none" w:sz="0" w:space="0" w:color="auto"/>
        <w:left w:val="none" w:sz="0" w:space="0" w:color="auto"/>
        <w:bottom w:val="none" w:sz="0" w:space="0" w:color="auto"/>
        <w:right w:val="none" w:sz="0" w:space="0" w:color="auto"/>
      </w:divBdr>
    </w:div>
    <w:div w:id="730615956">
      <w:bodyDiv w:val="1"/>
      <w:marLeft w:val="0"/>
      <w:marRight w:val="0"/>
      <w:marTop w:val="0"/>
      <w:marBottom w:val="0"/>
      <w:divBdr>
        <w:top w:val="none" w:sz="0" w:space="0" w:color="auto"/>
        <w:left w:val="none" w:sz="0" w:space="0" w:color="auto"/>
        <w:bottom w:val="none" w:sz="0" w:space="0" w:color="auto"/>
        <w:right w:val="none" w:sz="0" w:space="0" w:color="auto"/>
      </w:divBdr>
    </w:div>
    <w:div w:id="1101728477">
      <w:bodyDiv w:val="1"/>
      <w:marLeft w:val="0"/>
      <w:marRight w:val="0"/>
      <w:marTop w:val="0"/>
      <w:marBottom w:val="0"/>
      <w:divBdr>
        <w:top w:val="none" w:sz="0" w:space="0" w:color="auto"/>
        <w:left w:val="none" w:sz="0" w:space="0" w:color="auto"/>
        <w:bottom w:val="none" w:sz="0" w:space="0" w:color="auto"/>
        <w:right w:val="none" w:sz="0" w:space="0" w:color="auto"/>
      </w:divBdr>
    </w:div>
    <w:div w:id="1122648170">
      <w:bodyDiv w:val="1"/>
      <w:marLeft w:val="0"/>
      <w:marRight w:val="0"/>
      <w:marTop w:val="0"/>
      <w:marBottom w:val="0"/>
      <w:divBdr>
        <w:top w:val="none" w:sz="0" w:space="0" w:color="auto"/>
        <w:left w:val="none" w:sz="0" w:space="0" w:color="auto"/>
        <w:bottom w:val="none" w:sz="0" w:space="0" w:color="auto"/>
        <w:right w:val="none" w:sz="0" w:space="0" w:color="auto"/>
      </w:divBdr>
    </w:div>
    <w:div w:id="1270821223">
      <w:bodyDiv w:val="1"/>
      <w:marLeft w:val="0"/>
      <w:marRight w:val="0"/>
      <w:marTop w:val="0"/>
      <w:marBottom w:val="0"/>
      <w:divBdr>
        <w:top w:val="none" w:sz="0" w:space="0" w:color="auto"/>
        <w:left w:val="none" w:sz="0" w:space="0" w:color="auto"/>
        <w:bottom w:val="none" w:sz="0" w:space="0" w:color="auto"/>
        <w:right w:val="none" w:sz="0" w:space="0" w:color="auto"/>
      </w:divBdr>
    </w:div>
    <w:div w:id="1580138722">
      <w:bodyDiv w:val="1"/>
      <w:marLeft w:val="0"/>
      <w:marRight w:val="0"/>
      <w:marTop w:val="0"/>
      <w:marBottom w:val="0"/>
      <w:divBdr>
        <w:top w:val="none" w:sz="0" w:space="0" w:color="auto"/>
        <w:left w:val="none" w:sz="0" w:space="0" w:color="auto"/>
        <w:bottom w:val="none" w:sz="0" w:space="0" w:color="auto"/>
        <w:right w:val="none" w:sz="0" w:space="0" w:color="auto"/>
      </w:divBdr>
    </w:div>
    <w:div w:id="1707174872">
      <w:bodyDiv w:val="1"/>
      <w:marLeft w:val="0"/>
      <w:marRight w:val="0"/>
      <w:marTop w:val="0"/>
      <w:marBottom w:val="0"/>
      <w:divBdr>
        <w:top w:val="none" w:sz="0" w:space="0" w:color="auto"/>
        <w:left w:val="none" w:sz="0" w:space="0" w:color="auto"/>
        <w:bottom w:val="none" w:sz="0" w:space="0" w:color="auto"/>
        <w:right w:val="none" w:sz="0" w:space="0" w:color="auto"/>
      </w:divBdr>
    </w:div>
    <w:div w:id="1750885942">
      <w:bodyDiv w:val="1"/>
      <w:marLeft w:val="0"/>
      <w:marRight w:val="0"/>
      <w:marTop w:val="0"/>
      <w:marBottom w:val="0"/>
      <w:divBdr>
        <w:top w:val="none" w:sz="0" w:space="0" w:color="auto"/>
        <w:left w:val="none" w:sz="0" w:space="0" w:color="auto"/>
        <w:bottom w:val="none" w:sz="0" w:space="0" w:color="auto"/>
        <w:right w:val="none" w:sz="0" w:space="0" w:color="auto"/>
      </w:divBdr>
    </w:div>
    <w:div w:id="2065912728">
      <w:bodyDiv w:val="1"/>
      <w:marLeft w:val="0"/>
      <w:marRight w:val="0"/>
      <w:marTop w:val="0"/>
      <w:marBottom w:val="0"/>
      <w:divBdr>
        <w:top w:val="none" w:sz="0" w:space="0" w:color="auto"/>
        <w:left w:val="none" w:sz="0" w:space="0" w:color="auto"/>
        <w:bottom w:val="none" w:sz="0" w:space="0" w:color="auto"/>
        <w:right w:val="none" w:sz="0" w:space="0" w:color="auto"/>
      </w:divBdr>
    </w:div>
    <w:div w:id="209015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xguru.in/income-tax/compliance-check-functionality-sections-206ab-206cca.html" TargetMode="External"/><Relationship Id="rId3" Type="http://schemas.openxmlformats.org/officeDocument/2006/relationships/settings" Target="settings.xml"/><Relationship Id="rId7" Type="http://schemas.openxmlformats.org/officeDocument/2006/relationships/hyperlink" Target="https://taxguru.in/income-tax/permanent-account-number-pan.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axguru.in/income-tax/tax-collected-source-tcs.html" TargetMode="External"/><Relationship Id="rId5" Type="http://schemas.openxmlformats.org/officeDocument/2006/relationships/hyperlink" Target="https://taxguru.in/income-tax/tax-deducted-source-td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A6A25-A65B-4D79-930F-9FB58C2A0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prafull shaha</dc:creator>
  <cp:keywords/>
  <dc:description/>
  <cp:lastModifiedBy>prafull shaha</cp:lastModifiedBy>
  <cp:revision>15</cp:revision>
  <dcterms:created xsi:type="dcterms:W3CDTF">2021-07-15T10:20:00Z</dcterms:created>
  <dcterms:modified xsi:type="dcterms:W3CDTF">2021-07-16T06:30:00Z</dcterms:modified>
</cp:coreProperties>
</file>